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3963D3">
      <w:pPr>
        <w:spacing w:line="360" w:lineRule="exact"/>
        <w:jc w:val="center"/>
        <w:rPr>
          <w:rFonts w:hint="eastAsia" w:eastAsia="华文中宋"/>
          <w:color w:val="000000"/>
          <w:highlight w:val="none"/>
        </w:rPr>
      </w:pPr>
    </w:p>
    <w:p w14:paraId="09A2271D">
      <w:pPr>
        <w:jc w:val="center"/>
        <w:rPr>
          <w:rFonts w:eastAsia="黑体"/>
          <w:color w:val="000000"/>
          <w:sz w:val="28"/>
          <w:szCs w:val="28"/>
          <w:highlight w:val="none"/>
        </w:rPr>
      </w:pPr>
      <w:r>
        <w:rPr>
          <w:rFonts w:hint="eastAsia" w:eastAsia="黑体" w:cs="黑体"/>
          <w:color w:val="000000"/>
          <w:sz w:val="28"/>
          <w:szCs w:val="28"/>
          <w:highlight w:val="none"/>
        </w:rPr>
        <w:t>目</w:t>
      </w:r>
      <w:r>
        <w:rPr>
          <w:rFonts w:eastAsia="黑体"/>
          <w:color w:val="000000"/>
          <w:sz w:val="28"/>
          <w:szCs w:val="28"/>
          <w:highlight w:val="none"/>
        </w:rPr>
        <w:t xml:space="preserve">    </w:t>
      </w:r>
      <w:r>
        <w:rPr>
          <w:rFonts w:hint="eastAsia" w:eastAsia="黑体" w:cs="黑体"/>
          <w:color w:val="000000"/>
          <w:sz w:val="28"/>
          <w:szCs w:val="28"/>
          <w:highlight w:val="none"/>
        </w:rPr>
        <w:t>录</w:t>
      </w:r>
    </w:p>
    <w:p w14:paraId="0B3F42A5">
      <w:pPr>
        <w:jc w:val="center"/>
        <w:rPr>
          <w:rFonts w:eastAsia="黑体"/>
          <w:color w:val="000000"/>
          <w:highlight w:val="none"/>
        </w:rPr>
      </w:pPr>
    </w:p>
    <w:p w14:paraId="5921FDC0">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第一章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总则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eastAsia="楷体_GB2312"/>
          <w:snapToGrid w:val="0"/>
          <w:color w:val="000000"/>
          <w:kern w:val="0"/>
          <w:highlight w:val="none"/>
        </w:rPr>
        <w:t>1</w:t>
      </w:r>
      <w:r>
        <w:rPr>
          <w:rFonts w:hint="eastAsia" w:eastAsia="楷体_GB2312" w:cs="楷体_GB2312"/>
          <w:snapToGrid w:val="0"/>
          <w:color w:val="000000"/>
          <w:kern w:val="0"/>
          <w:highlight w:val="none"/>
        </w:rPr>
        <w:t>)</w:t>
      </w:r>
    </w:p>
    <w:p w14:paraId="29B68ECD">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第二章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入学与注册</w:t>
      </w:r>
      <w:bookmarkStart w:id="1" w:name="_GoBack"/>
      <w:bookmarkEnd w:id="1"/>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2</w:t>
      </w:r>
      <w:r>
        <w:rPr>
          <w:rFonts w:hint="eastAsia" w:eastAsia="楷体_GB2312" w:cs="楷体_GB2312"/>
          <w:snapToGrid w:val="0"/>
          <w:color w:val="000000"/>
          <w:kern w:val="0"/>
          <w:highlight w:val="none"/>
        </w:rPr>
        <w:t>)</w:t>
      </w:r>
    </w:p>
    <w:p w14:paraId="7E769984">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第三章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考核与成绩记载</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3</w:t>
      </w:r>
      <w:r>
        <w:rPr>
          <w:rFonts w:hint="eastAsia" w:eastAsia="楷体_GB2312" w:cs="楷体_GB2312"/>
          <w:snapToGrid w:val="0"/>
          <w:color w:val="000000"/>
          <w:kern w:val="0"/>
          <w:highlight w:val="none"/>
        </w:rPr>
        <w:t>)</w:t>
      </w:r>
    </w:p>
    <w:p w14:paraId="6DE89674">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第四章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课程确定与留降级</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eastAsia="楷体_GB2312"/>
          <w:snapToGrid w:val="0"/>
          <w:color w:val="000000"/>
          <w:kern w:val="0"/>
          <w:highlight w:val="none"/>
        </w:rPr>
        <w:t>6</w:t>
      </w:r>
      <w:r>
        <w:rPr>
          <w:rFonts w:hint="eastAsia" w:eastAsia="楷体_GB2312" w:cs="楷体_GB2312"/>
          <w:snapToGrid w:val="0"/>
          <w:color w:val="000000"/>
          <w:kern w:val="0"/>
          <w:highlight w:val="none"/>
        </w:rPr>
        <w:t>)</w:t>
      </w:r>
    </w:p>
    <w:p w14:paraId="2D70BEE0">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第五章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辅修</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7</w:t>
      </w:r>
      <w:r>
        <w:rPr>
          <w:rFonts w:hint="eastAsia" w:eastAsia="楷体_GB2312" w:cs="楷体_GB2312"/>
          <w:snapToGrid w:val="0"/>
          <w:color w:val="000000"/>
          <w:kern w:val="0"/>
          <w:highlight w:val="none"/>
        </w:rPr>
        <w:t>)</w:t>
      </w:r>
    </w:p>
    <w:p w14:paraId="6ED5A500">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第六章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转专业与转学</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7</w:t>
      </w:r>
      <w:r>
        <w:rPr>
          <w:rFonts w:hint="eastAsia" w:eastAsia="楷体_GB2312" w:cs="楷体_GB2312"/>
          <w:snapToGrid w:val="0"/>
          <w:color w:val="000000"/>
          <w:kern w:val="0"/>
          <w:highlight w:val="none"/>
        </w:rPr>
        <w:t>)</w:t>
      </w:r>
    </w:p>
    <w:p w14:paraId="33AEDB36">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第七章</w:t>
      </w:r>
      <w:r>
        <w:rPr>
          <w:rFonts w:eastAsia="楷体_GB2312"/>
          <w:snapToGrid w:val="0"/>
          <w:color w:val="000000"/>
          <w:kern w:val="0"/>
          <w:highlight w:val="none"/>
        </w:rPr>
        <w:t xml:space="preserve">    </w:t>
      </w:r>
      <w:r>
        <w:rPr>
          <w:rFonts w:hint="eastAsia" w:eastAsia="楷体_GB2312"/>
          <w:snapToGrid w:val="0"/>
          <w:color w:val="000000"/>
          <w:kern w:val="0"/>
          <w:highlight w:val="none"/>
        </w:rPr>
        <w:t>请假</w:t>
      </w:r>
      <w:r>
        <w:rPr>
          <w:rFonts w:eastAsia="楷体_GB2312"/>
          <w:snapToGrid w:val="0"/>
          <w:color w:val="000000"/>
          <w:kern w:val="0"/>
          <w:highlight w:val="none"/>
        </w:rPr>
        <w:t>、</w:t>
      </w:r>
      <w:r>
        <w:rPr>
          <w:rFonts w:hint="eastAsia" w:eastAsia="楷体_GB2312" w:cs="楷体_GB2312"/>
          <w:snapToGrid w:val="0"/>
          <w:color w:val="000000"/>
          <w:kern w:val="0"/>
          <w:highlight w:val="none"/>
        </w:rPr>
        <w:t>休学与复学</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8</w:t>
      </w:r>
      <w:r>
        <w:rPr>
          <w:rFonts w:hint="eastAsia" w:eastAsia="楷体_GB2312" w:cs="楷体_GB2312"/>
          <w:snapToGrid w:val="0"/>
          <w:color w:val="000000"/>
          <w:kern w:val="0"/>
          <w:highlight w:val="none"/>
        </w:rPr>
        <w:t>)</w:t>
      </w:r>
    </w:p>
    <w:p w14:paraId="55922A4C">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第八章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退学</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10</w:t>
      </w:r>
      <w:r>
        <w:rPr>
          <w:rFonts w:hint="eastAsia" w:eastAsia="楷体_GB2312" w:cs="楷体_GB2312"/>
          <w:snapToGrid w:val="0"/>
          <w:color w:val="000000"/>
          <w:kern w:val="0"/>
          <w:highlight w:val="none"/>
        </w:rPr>
        <w:t>)</w:t>
      </w:r>
    </w:p>
    <w:p w14:paraId="01F7FED1">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第九章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奖励与处分</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1</w:t>
      </w:r>
      <w:r>
        <w:rPr>
          <w:rFonts w:hint="eastAsia" w:eastAsia="楷体_GB2312" w:cs="楷体_GB2312"/>
          <w:snapToGrid w:val="0"/>
          <w:color w:val="000000"/>
          <w:kern w:val="0"/>
          <w:highlight w:val="none"/>
        </w:rPr>
        <w:t>)</w:t>
      </w:r>
    </w:p>
    <w:p w14:paraId="471BADC1">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第十章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毕业与结业</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2</w:t>
      </w:r>
      <w:r>
        <w:rPr>
          <w:rFonts w:hint="eastAsia" w:eastAsia="楷体_GB2312" w:cs="楷体_GB2312"/>
          <w:snapToGrid w:val="0"/>
          <w:color w:val="000000"/>
          <w:kern w:val="0"/>
          <w:highlight w:val="none"/>
        </w:rPr>
        <w:t>)</w:t>
      </w:r>
    </w:p>
    <w:p w14:paraId="60A76F0C">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第十</w:t>
      </w:r>
      <w:r>
        <w:rPr>
          <w:rFonts w:hint="eastAsia" w:eastAsia="楷体_GB2312" w:cs="楷体_GB2312"/>
          <w:snapToGrid w:val="0"/>
          <w:color w:val="000000"/>
          <w:kern w:val="0"/>
          <w:highlight w:val="none"/>
          <w:lang w:val="en-US" w:eastAsia="zh-CN"/>
        </w:rPr>
        <w:t>一</w:t>
      </w:r>
      <w:r>
        <w:rPr>
          <w:rFonts w:hint="eastAsia" w:eastAsia="楷体_GB2312" w:cs="楷体_GB2312"/>
          <w:snapToGrid w:val="0"/>
          <w:color w:val="000000"/>
          <w:kern w:val="0"/>
          <w:highlight w:val="none"/>
        </w:rPr>
        <w:t>章</w:t>
      </w:r>
      <w:r>
        <w:rPr>
          <w:rFonts w:eastAsia="楷体_GB2312"/>
          <w:snapToGrid w:val="0"/>
          <w:color w:val="000000"/>
          <w:kern w:val="0"/>
          <w:highlight w:val="none"/>
        </w:rPr>
        <w:t xml:space="preserve">  </w:t>
      </w:r>
      <w:r>
        <w:rPr>
          <w:rFonts w:hint="eastAsia" w:eastAsia="楷体_GB2312"/>
          <w:snapToGrid w:val="0"/>
          <w:color w:val="000000"/>
          <w:kern w:val="0"/>
          <w:highlight w:val="none"/>
          <w:lang w:val="en-US" w:eastAsia="zh-CN"/>
        </w:rPr>
        <w:t>长学制本科阶段分流机制</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3</w:t>
      </w:r>
      <w:r>
        <w:rPr>
          <w:rFonts w:hint="eastAsia" w:eastAsia="楷体_GB2312" w:cs="楷体_GB2312"/>
          <w:snapToGrid w:val="0"/>
          <w:color w:val="000000"/>
          <w:kern w:val="0"/>
          <w:highlight w:val="none"/>
        </w:rPr>
        <w:t>)</w:t>
      </w:r>
    </w:p>
    <w:p w14:paraId="2EA4C11E">
      <w:pPr>
        <w:tabs>
          <w:tab w:val="center" w:leader="middleDot" w:pos="6145"/>
        </w:tabs>
        <w:spacing w:line="420" w:lineRule="exact"/>
        <w:rPr>
          <w:rFonts w:eastAsia="楷体_GB2312" w:cs="楷体_GB2312"/>
          <w:snapToGrid w:val="0"/>
          <w:color w:val="000000"/>
          <w:kern w:val="0"/>
          <w:highlight w:val="none"/>
        </w:rPr>
      </w:pPr>
      <w:r>
        <w:rPr>
          <w:rFonts w:hint="eastAsia" w:eastAsia="楷体_GB2312" w:cs="楷体_GB2312"/>
          <w:snapToGrid w:val="0"/>
          <w:color w:val="000000"/>
          <w:kern w:val="0"/>
          <w:highlight w:val="none"/>
        </w:rPr>
        <w:t>第十</w:t>
      </w:r>
      <w:r>
        <w:rPr>
          <w:rFonts w:hint="eastAsia" w:eastAsia="楷体_GB2312" w:cs="楷体_GB2312"/>
          <w:snapToGrid w:val="0"/>
          <w:color w:val="000000"/>
          <w:kern w:val="0"/>
          <w:highlight w:val="none"/>
          <w:lang w:val="en-US" w:eastAsia="zh-CN"/>
        </w:rPr>
        <w:t>二</w:t>
      </w:r>
      <w:r>
        <w:rPr>
          <w:rFonts w:hint="eastAsia" w:eastAsia="楷体_GB2312" w:cs="楷体_GB2312"/>
          <w:snapToGrid w:val="0"/>
          <w:color w:val="000000"/>
          <w:kern w:val="0"/>
          <w:highlight w:val="none"/>
        </w:rPr>
        <w:t>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学位授予</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4</w:t>
      </w:r>
      <w:r>
        <w:rPr>
          <w:rFonts w:hint="eastAsia" w:eastAsia="楷体_GB2312" w:cs="楷体_GB2312"/>
          <w:snapToGrid w:val="0"/>
          <w:color w:val="000000"/>
          <w:kern w:val="0"/>
          <w:highlight w:val="none"/>
        </w:rPr>
        <w:t>)</w:t>
      </w:r>
    </w:p>
    <w:p w14:paraId="31E219A6">
      <w:pPr>
        <w:tabs>
          <w:tab w:val="center" w:leader="middleDot" w:pos="6145"/>
        </w:tabs>
        <w:spacing w:line="420" w:lineRule="exact"/>
        <w:rPr>
          <w:rFonts w:eastAsia="楷体_GB2312" w:cs="楷体_GB2312"/>
          <w:snapToGrid w:val="0"/>
          <w:color w:val="000000"/>
          <w:kern w:val="0"/>
          <w:highlight w:val="none"/>
        </w:rPr>
      </w:pPr>
      <w:r>
        <w:rPr>
          <w:rFonts w:hint="eastAsia" w:eastAsia="楷体_GB2312" w:cs="楷体_GB2312"/>
          <w:snapToGrid w:val="0"/>
          <w:color w:val="000000"/>
          <w:kern w:val="0"/>
          <w:highlight w:val="none"/>
        </w:rPr>
        <w:t>第十</w:t>
      </w:r>
      <w:r>
        <w:rPr>
          <w:rFonts w:hint="eastAsia" w:eastAsia="楷体_GB2312" w:cs="楷体_GB2312"/>
          <w:snapToGrid w:val="0"/>
          <w:color w:val="000000"/>
          <w:kern w:val="0"/>
          <w:highlight w:val="none"/>
          <w:lang w:val="en-US" w:eastAsia="zh-CN"/>
        </w:rPr>
        <w:t>三</w:t>
      </w:r>
      <w:r>
        <w:rPr>
          <w:rFonts w:hint="eastAsia" w:eastAsia="楷体_GB2312" w:cs="楷体_GB2312"/>
          <w:snapToGrid w:val="0"/>
          <w:color w:val="000000"/>
          <w:kern w:val="0"/>
          <w:highlight w:val="none"/>
        </w:rPr>
        <w:t>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学业证书</w:t>
      </w:r>
      <w:r>
        <w:rPr>
          <w:rFonts w:eastAsia="楷体_GB2312" w:cs="楷体_GB2312"/>
          <w:snapToGrid w:val="0"/>
          <w:color w:val="000000"/>
          <w:kern w:val="0"/>
          <w:highlight w:val="none"/>
        </w:rPr>
        <w:t>管理</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4</w:t>
      </w:r>
      <w:r>
        <w:rPr>
          <w:rFonts w:hint="eastAsia" w:eastAsia="楷体_GB2312" w:cs="楷体_GB2312"/>
          <w:snapToGrid w:val="0"/>
          <w:color w:val="000000"/>
          <w:kern w:val="0"/>
          <w:highlight w:val="none"/>
        </w:rPr>
        <w:t>)</w:t>
      </w:r>
    </w:p>
    <w:p w14:paraId="5A42C2E2">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第十</w:t>
      </w:r>
      <w:r>
        <w:rPr>
          <w:rFonts w:hint="eastAsia" w:eastAsia="楷体_GB2312" w:cs="楷体_GB2312"/>
          <w:snapToGrid w:val="0"/>
          <w:color w:val="000000"/>
          <w:kern w:val="0"/>
          <w:highlight w:val="none"/>
          <w:lang w:val="en-US" w:eastAsia="zh-CN"/>
        </w:rPr>
        <w:t>四</w:t>
      </w:r>
      <w:r>
        <w:rPr>
          <w:rFonts w:hint="eastAsia" w:eastAsia="楷体_GB2312" w:cs="楷体_GB2312"/>
          <w:snapToGrid w:val="0"/>
          <w:color w:val="000000"/>
          <w:kern w:val="0"/>
          <w:highlight w:val="none"/>
        </w:rPr>
        <w:t>章</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附则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1</w:t>
      </w:r>
      <w:r>
        <w:rPr>
          <w:rFonts w:hint="eastAsia" w:eastAsia="楷体_GB2312"/>
          <w:snapToGrid w:val="0"/>
          <w:color w:val="000000"/>
          <w:kern w:val="0"/>
          <w:highlight w:val="none"/>
          <w:lang w:val="en-US" w:eastAsia="zh-CN"/>
        </w:rPr>
        <w:t>5</w:t>
      </w:r>
      <w:r>
        <w:rPr>
          <w:rFonts w:hint="eastAsia" w:eastAsia="楷体_GB2312" w:cs="楷体_GB2312"/>
          <w:snapToGrid w:val="0"/>
          <w:color w:val="000000"/>
          <w:kern w:val="0"/>
          <w:highlight w:val="none"/>
        </w:rPr>
        <w:t>)</w:t>
      </w:r>
    </w:p>
    <w:p w14:paraId="48EAB6BB">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1</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南京医科大学学士学位授予实施细则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lang w:val="en-US" w:eastAsia="zh-CN"/>
        </w:rPr>
        <w:t>16</w:t>
      </w:r>
      <w:r>
        <w:rPr>
          <w:rFonts w:hint="eastAsia" w:eastAsia="楷体_GB2312" w:cs="楷体_GB2312"/>
          <w:snapToGrid w:val="0"/>
          <w:color w:val="000000"/>
          <w:kern w:val="0"/>
          <w:highlight w:val="none"/>
        </w:rPr>
        <w:t>)</w:t>
      </w:r>
    </w:p>
    <w:p w14:paraId="018E70B5">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2</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南京医科大学全日制本科课程成绩评定与考试管理办法</w:t>
      </w:r>
    </w:p>
    <w:p w14:paraId="09327411">
      <w:pPr>
        <w:tabs>
          <w:tab w:val="center" w:leader="middleDot" w:pos="6145"/>
        </w:tabs>
        <w:spacing w:line="420" w:lineRule="exact"/>
        <w:ind w:firstLine="1050" w:firstLineChars="500"/>
        <w:rPr>
          <w:rFonts w:hint="eastAsia" w:eastAsia="楷体_GB2312" w:cs="楷体_GB2312"/>
          <w:snapToGrid w:val="0"/>
          <w:color w:val="000000"/>
          <w:kern w:val="0"/>
          <w:highlight w:val="none"/>
        </w:rPr>
      </w:pP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20</w:t>
      </w:r>
      <w:r>
        <w:rPr>
          <w:rFonts w:hint="eastAsia" w:eastAsia="楷体_GB2312" w:cs="楷体_GB2312"/>
          <w:snapToGrid w:val="0"/>
          <w:color w:val="000000"/>
          <w:kern w:val="0"/>
          <w:highlight w:val="none"/>
        </w:rPr>
        <w:t>)</w:t>
      </w:r>
    </w:p>
    <w:p w14:paraId="7CA6D59F">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3</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南京医科大学考试监考守则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33</w:t>
      </w:r>
      <w:r>
        <w:rPr>
          <w:rFonts w:hint="eastAsia" w:eastAsia="楷体_GB2312" w:cs="楷体_GB2312"/>
          <w:snapToGrid w:val="0"/>
          <w:color w:val="000000"/>
          <w:kern w:val="0"/>
          <w:highlight w:val="none"/>
        </w:rPr>
        <w:t>)</w:t>
      </w:r>
    </w:p>
    <w:p w14:paraId="3F1823BA">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4</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南京医科大学考试巡考守则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3</w:t>
      </w:r>
      <w:r>
        <w:rPr>
          <w:rFonts w:hint="eastAsia" w:eastAsia="楷体_GB2312"/>
          <w:snapToGrid w:val="0"/>
          <w:color w:val="000000"/>
          <w:kern w:val="0"/>
          <w:highlight w:val="none"/>
          <w:lang w:val="en-US" w:eastAsia="zh-CN"/>
        </w:rPr>
        <w:t>5</w:t>
      </w:r>
      <w:r>
        <w:rPr>
          <w:rFonts w:hint="eastAsia" w:eastAsia="楷体_GB2312" w:cs="楷体_GB2312"/>
          <w:snapToGrid w:val="0"/>
          <w:color w:val="000000"/>
          <w:kern w:val="0"/>
          <w:highlight w:val="none"/>
        </w:rPr>
        <w:t>)</w:t>
      </w:r>
    </w:p>
    <w:p w14:paraId="20197B8C">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5</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南京医科大学考场纪律守则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3</w:t>
      </w:r>
      <w:r>
        <w:rPr>
          <w:rFonts w:hint="eastAsia" w:eastAsia="楷体_GB2312"/>
          <w:snapToGrid w:val="0"/>
          <w:color w:val="000000"/>
          <w:kern w:val="0"/>
          <w:highlight w:val="none"/>
          <w:lang w:val="en-US" w:eastAsia="zh-CN"/>
        </w:rPr>
        <w:t>6</w:t>
      </w:r>
      <w:r>
        <w:rPr>
          <w:rFonts w:hint="eastAsia" w:eastAsia="楷体_GB2312" w:cs="楷体_GB2312"/>
          <w:snapToGrid w:val="0"/>
          <w:color w:val="000000"/>
          <w:kern w:val="0"/>
          <w:highlight w:val="none"/>
        </w:rPr>
        <w:t>)</w:t>
      </w:r>
    </w:p>
    <w:p w14:paraId="0D4FE3D6">
      <w:pPr>
        <w:tabs>
          <w:tab w:val="center" w:leader="middleDot" w:pos="6145"/>
        </w:tabs>
        <w:spacing w:line="420" w:lineRule="exact"/>
        <w:rPr>
          <w:rFonts w:hint="eastAsia" w:eastAsia="楷体_GB2312" w:cs="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6</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南京医科大学考试违纪与作弊处理办法</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3</w:t>
      </w:r>
      <w:r>
        <w:rPr>
          <w:rFonts w:hint="eastAsia" w:eastAsia="楷体_GB2312"/>
          <w:snapToGrid w:val="0"/>
          <w:color w:val="000000"/>
          <w:kern w:val="0"/>
          <w:highlight w:val="none"/>
          <w:lang w:val="en-US" w:eastAsia="zh-CN"/>
        </w:rPr>
        <w:t>8</w:t>
      </w:r>
      <w:r>
        <w:rPr>
          <w:rFonts w:hint="eastAsia" w:eastAsia="楷体_GB2312" w:cs="楷体_GB2312"/>
          <w:snapToGrid w:val="0"/>
          <w:color w:val="000000"/>
          <w:kern w:val="0"/>
          <w:highlight w:val="none"/>
        </w:rPr>
        <w:t>)</w:t>
      </w:r>
    </w:p>
    <w:p w14:paraId="1148AF83">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7</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南京医科大学教室文明守则</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lang w:val="en-US" w:eastAsia="zh-CN"/>
        </w:rPr>
        <w:t>41</w:t>
      </w:r>
      <w:r>
        <w:rPr>
          <w:rFonts w:hint="eastAsia" w:eastAsia="楷体_GB2312" w:cs="楷体_GB2312"/>
          <w:snapToGrid w:val="0"/>
          <w:color w:val="000000"/>
          <w:kern w:val="0"/>
          <w:highlight w:val="none"/>
        </w:rPr>
        <w:t>)</w:t>
      </w:r>
    </w:p>
    <w:p w14:paraId="7F3E974C">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8</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南京医科大学选修课管理规定</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lang w:val="en-US" w:eastAsia="zh-CN"/>
        </w:rPr>
        <w:t>42</w:t>
      </w:r>
      <w:r>
        <w:rPr>
          <w:rFonts w:hint="eastAsia" w:eastAsia="楷体_GB2312" w:cs="楷体_GB2312"/>
          <w:snapToGrid w:val="0"/>
          <w:color w:val="000000"/>
          <w:kern w:val="0"/>
          <w:highlight w:val="none"/>
        </w:rPr>
        <w:t>)</w:t>
      </w:r>
    </w:p>
    <w:p w14:paraId="78510425">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9</w:t>
      </w:r>
      <w:r>
        <w:rPr>
          <w:rFonts w:eastAsia="楷体_GB2312"/>
          <w:snapToGrid w:val="0"/>
          <w:color w:val="000000"/>
          <w:kern w:val="0"/>
          <w:highlight w:val="none"/>
        </w:rPr>
        <w:t xml:space="preserve">    </w:t>
      </w:r>
      <w:r>
        <w:rPr>
          <w:rFonts w:hint="eastAsia" w:eastAsia="楷体_GB2312" w:cs="楷体_GB2312"/>
          <w:snapToGrid w:val="0"/>
          <w:color w:val="000000"/>
          <w:kern w:val="0"/>
          <w:highlight w:val="none"/>
        </w:rPr>
        <w:t>南京医科大学学生证、校徽管理规定</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43</w:t>
      </w:r>
      <w:r>
        <w:rPr>
          <w:rFonts w:hint="eastAsia" w:eastAsia="楷体_GB2312" w:cs="楷体_GB2312"/>
          <w:snapToGrid w:val="0"/>
          <w:color w:val="000000"/>
          <w:kern w:val="0"/>
          <w:highlight w:val="none"/>
        </w:rPr>
        <w:t>)</w:t>
      </w:r>
    </w:p>
    <w:p w14:paraId="0C5A486C">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10</w:t>
      </w:r>
      <w:r>
        <w:rPr>
          <w:rFonts w:eastAsia="楷体_GB2312"/>
          <w:snapToGrid w:val="0"/>
          <w:color w:val="000000"/>
          <w:kern w:val="0"/>
          <w:highlight w:val="none"/>
        </w:rPr>
        <w:t xml:space="preserve">  </w:t>
      </w:r>
      <w:r>
        <w:rPr>
          <w:rFonts w:hint="eastAsia" w:eastAsia="楷体_GB2312"/>
          <w:snapToGrid w:val="0"/>
          <w:color w:val="000000"/>
          <w:kern w:val="0"/>
          <w:highlight w:val="none"/>
          <w:lang w:val="en-US" w:eastAsia="zh-CN"/>
        </w:rPr>
        <w:t xml:space="preserve"> </w:t>
      </w:r>
      <w:r>
        <w:rPr>
          <w:rFonts w:hint="eastAsia" w:eastAsia="楷体_GB2312" w:cs="楷体_GB2312"/>
          <w:snapToGrid w:val="0"/>
          <w:color w:val="000000"/>
          <w:kern w:val="0"/>
          <w:highlight w:val="none"/>
        </w:rPr>
        <w:t>南京医科大学本科生学分制收费管理暂行办法</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rPr>
        <w:t>4</w:t>
      </w:r>
      <w:r>
        <w:rPr>
          <w:rFonts w:hint="eastAsia" w:eastAsia="楷体_GB2312"/>
          <w:snapToGrid w:val="0"/>
          <w:color w:val="000000"/>
          <w:kern w:val="0"/>
          <w:highlight w:val="none"/>
          <w:lang w:val="en-US" w:eastAsia="zh-CN"/>
        </w:rPr>
        <w:t>4</w:t>
      </w:r>
      <w:r>
        <w:rPr>
          <w:rFonts w:hint="eastAsia" w:eastAsia="楷体_GB2312" w:cs="楷体_GB2312"/>
          <w:snapToGrid w:val="0"/>
          <w:color w:val="000000"/>
          <w:kern w:val="0"/>
          <w:highlight w:val="none"/>
        </w:rPr>
        <w:t>)</w:t>
      </w:r>
    </w:p>
    <w:p w14:paraId="06ED1AAC">
      <w:pPr>
        <w:tabs>
          <w:tab w:val="center" w:leader="middleDot" w:pos="6145"/>
        </w:tabs>
        <w:spacing w:line="420" w:lineRule="exact"/>
        <w:ind w:firstLine="1155" w:firstLineChars="550"/>
        <w:rPr>
          <w:rFonts w:eastAsia="楷体_GB2312"/>
          <w:snapToGrid w:val="0"/>
          <w:color w:val="000000"/>
          <w:kern w:val="0"/>
          <w:highlight w:val="none"/>
        </w:rPr>
      </w:pPr>
    </w:p>
    <w:p w14:paraId="67BE7A5A">
      <w:pPr>
        <w:tabs>
          <w:tab w:val="center" w:leader="middleDot" w:pos="6145"/>
        </w:tabs>
        <w:spacing w:line="420" w:lineRule="exact"/>
        <w:rPr>
          <w:rFonts w:eastAsia="楷体_GB2312"/>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11</w:t>
      </w:r>
      <w:r>
        <w:rPr>
          <w:rFonts w:eastAsia="楷体_GB2312"/>
          <w:snapToGrid w:val="0"/>
          <w:color w:val="000000"/>
          <w:kern w:val="0"/>
          <w:highlight w:val="none"/>
        </w:rPr>
        <w:t xml:space="preserve">  </w:t>
      </w:r>
      <w:r>
        <w:rPr>
          <w:rFonts w:hint="eastAsia" w:eastAsia="楷体_GB2312"/>
          <w:snapToGrid w:val="0"/>
          <w:color w:val="000000"/>
          <w:kern w:val="0"/>
          <w:highlight w:val="none"/>
          <w:lang w:val="en-US" w:eastAsia="zh-CN"/>
        </w:rPr>
        <w:t xml:space="preserve"> </w:t>
      </w:r>
      <w:r>
        <w:rPr>
          <w:rFonts w:hint="eastAsia" w:eastAsia="楷体_GB2312" w:cs="楷体_GB2312"/>
          <w:snapToGrid w:val="0"/>
          <w:color w:val="000000"/>
          <w:spacing w:val="-4"/>
          <w:kern w:val="0"/>
          <w:highlight w:val="none"/>
        </w:rPr>
        <w:t>南京医科大学少数民族特招生学籍管理补充规定</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cs="楷体_GB2312"/>
          <w:snapToGrid w:val="0"/>
          <w:color w:val="000000"/>
          <w:kern w:val="0"/>
          <w:highlight w:val="none"/>
          <w:lang w:val="en-US" w:eastAsia="zh-CN"/>
        </w:rPr>
        <w:t>47</w:t>
      </w:r>
      <w:r>
        <w:rPr>
          <w:rFonts w:hint="eastAsia" w:eastAsia="楷体_GB2312" w:cs="楷体_GB2312"/>
          <w:snapToGrid w:val="0"/>
          <w:color w:val="000000"/>
          <w:kern w:val="0"/>
          <w:highlight w:val="none"/>
        </w:rPr>
        <w:t>)</w:t>
      </w:r>
    </w:p>
    <w:p w14:paraId="36787058">
      <w:pPr>
        <w:tabs>
          <w:tab w:val="center" w:leader="middleDot" w:pos="6145"/>
        </w:tabs>
        <w:spacing w:line="420" w:lineRule="exact"/>
        <w:rPr>
          <w:rFonts w:eastAsia="华文中宋"/>
          <w:snapToGrid w:val="0"/>
          <w:color w:val="000000"/>
          <w:kern w:val="0"/>
          <w:highlight w:val="none"/>
        </w:rPr>
      </w:pPr>
      <w:r>
        <w:rPr>
          <w:rFonts w:hint="eastAsia" w:eastAsia="楷体_GB2312" w:cs="楷体_GB2312"/>
          <w:snapToGrid w:val="0"/>
          <w:color w:val="000000"/>
          <w:kern w:val="0"/>
          <w:highlight w:val="none"/>
        </w:rPr>
        <w:t>附则</w:t>
      </w:r>
      <w:r>
        <w:rPr>
          <w:rFonts w:hint="eastAsia" w:eastAsia="楷体_GB2312" w:cs="楷体_GB2312"/>
          <w:snapToGrid w:val="0"/>
          <w:color w:val="000000"/>
          <w:kern w:val="0"/>
          <w:highlight w:val="none"/>
          <w:lang w:val="en-US" w:eastAsia="zh-CN"/>
        </w:rPr>
        <w:t>12</w:t>
      </w:r>
      <w:r>
        <w:rPr>
          <w:rFonts w:eastAsia="楷体_GB2312"/>
          <w:snapToGrid w:val="0"/>
          <w:color w:val="000000"/>
          <w:kern w:val="0"/>
          <w:highlight w:val="none"/>
        </w:rPr>
        <w:t xml:space="preserve"> </w:t>
      </w:r>
      <w:r>
        <w:rPr>
          <w:rFonts w:hint="eastAsia" w:eastAsia="楷体_GB2312"/>
          <w:snapToGrid w:val="0"/>
          <w:color w:val="000000"/>
          <w:kern w:val="0"/>
          <w:highlight w:val="none"/>
        </w:rPr>
        <w:t xml:space="preserve"> </w:t>
      </w:r>
      <w:r>
        <w:rPr>
          <w:rFonts w:hint="eastAsia" w:eastAsia="楷体_GB2312"/>
          <w:snapToGrid w:val="0"/>
          <w:color w:val="000000"/>
          <w:kern w:val="0"/>
          <w:highlight w:val="none"/>
          <w:lang w:val="en-US" w:eastAsia="zh-CN"/>
        </w:rPr>
        <w:t xml:space="preserve"> </w:t>
      </w:r>
      <w:r>
        <w:rPr>
          <w:rFonts w:hint="eastAsia" w:eastAsia="楷体_GB2312" w:cs="楷体_GB2312"/>
          <w:snapToGrid w:val="0"/>
          <w:color w:val="000000"/>
          <w:kern w:val="0"/>
          <w:highlight w:val="none"/>
        </w:rPr>
        <w:t>南京医科大学港澳台侨学生学籍管理补充规定</w:t>
      </w:r>
      <w:r>
        <w:rPr>
          <w:rFonts w:eastAsia="楷体_GB2312"/>
          <w:snapToGrid w:val="0"/>
          <w:color w:val="000000"/>
          <w:kern w:val="0"/>
          <w:highlight w:val="none"/>
        </w:rPr>
        <w:tab/>
      </w:r>
      <w:r>
        <w:rPr>
          <w:rFonts w:hint="eastAsia" w:eastAsia="楷体_GB2312" w:cs="楷体_GB2312"/>
          <w:snapToGrid w:val="0"/>
          <w:color w:val="000000"/>
          <w:kern w:val="0"/>
          <w:highlight w:val="none"/>
        </w:rPr>
        <w:t>(</w:t>
      </w:r>
      <w:r>
        <w:rPr>
          <w:rFonts w:hint="eastAsia" w:eastAsia="楷体_GB2312"/>
          <w:snapToGrid w:val="0"/>
          <w:color w:val="000000"/>
          <w:kern w:val="0"/>
          <w:highlight w:val="none"/>
          <w:lang w:val="en-US" w:eastAsia="zh-CN"/>
        </w:rPr>
        <w:t>50</w:t>
      </w:r>
      <w:r>
        <w:rPr>
          <w:rFonts w:hint="eastAsia" w:eastAsia="楷体_GB2312" w:cs="楷体_GB2312"/>
          <w:snapToGrid w:val="0"/>
          <w:color w:val="000000"/>
          <w:kern w:val="0"/>
          <w:highlight w:val="none"/>
        </w:rPr>
        <w:t>)</w:t>
      </w:r>
    </w:p>
    <w:p w14:paraId="71E6D218">
      <w:pPr>
        <w:rPr>
          <w:rFonts w:eastAsia="华文中宋"/>
          <w:color w:val="000000"/>
          <w:highlight w:val="none"/>
        </w:rPr>
      </w:pPr>
    </w:p>
    <w:p w14:paraId="3A7BA678">
      <w:pPr>
        <w:rPr>
          <w:rFonts w:eastAsia="华文中宋"/>
          <w:color w:val="000000"/>
          <w:highlight w:val="none"/>
        </w:rPr>
      </w:pPr>
    </w:p>
    <w:p w14:paraId="40BD76C9">
      <w:pPr>
        <w:rPr>
          <w:rFonts w:eastAsia="华文中宋"/>
          <w:color w:val="000000"/>
          <w:highlight w:val="none"/>
        </w:rPr>
      </w:pPr>
    </w:p>
    <w:p w14:paraId="78C13548">
      <w:pPr>
        <w:rPr>
          <w:rFonts w:eastAsia="华文中宋"/>
          <w:color w:val="000000"/>
          <w:highlight w:val="none"/>
        </w:rPr>
      </w:pPr>
    </w:p>
    <w:p w14:paraId="51D88A06">
      <w:pPr>
        <w:rPr>
          <w:rFonts w:eastAsia="华文中宋"/>
          <w:color w:val="000000"/>
          <w:highlight w:val="none"/>
        </w:rPr>
      </w:pPr>
    </w:p>
    <w:p w14:paraId="3278B7D3">
      <w:pPr>
        <w:tabs>
          <w:tab w:val="left" w:pos="1249"/>
        </w:tabs>
        <w:rPr>
          <w:rFonts w:eastAsia="华文中宋"/>
          <w:color w:val="000000"/>
          <w:highlight w:val="none"/>
        </w:rPr>
      </w:pPr>
      <w:r>
        <w:rPr>
          <w:rFonts w:eastAsia="华文中宋"/>
          <w:color w:val="000000"/>
          <w:highlight w:val="none"/>
        </w:rPr>
        <w:tab/>
      </w:r>
    </w:p>
    <w:p w14:paraId="06929E59">
      <w:pPr>
        <w:tabs>
          <w:tab w:val="left" w:pos="1249"/>
        </w:tabs>
        <w:rPr>
          <w:rFonts w:eastAsia="华文中宋"/>
          <w:color w:val="000000"/>
          <w:highlight w:val="none"/>
        </w:rPr>
        <w:sectPr>
          <w:pgSz w:w="7938" w:h="11510"/>
          <w:pgMar w:top="1134" w:right="851" w:bottom="1021" w:left="851" w:header="851" w:footer="851" w:gutter="0"/>
          <w:pgNumType w:start="1"/>
          <w:cols w:space="720" w:num="1"/>
          <w:docGrid w:type="lines" w:linePitch="312" w:charSpace="0"/>
        </w:sectPr>
      </w:pPr>
      <w:r>
        <w:rPr>
          <w:rFonts w:eastAsia="华文中宋"/>
          <w:color w:val="000000"/>
          <w:highlight w:val="none"/>
        </w:rPr>
        <w:tab/>
      </w:r>
    </w:p>
    <w:p w14:paraId="735AEC1A">
      <w:pPr>
        <w:widowControl/>
        <w:spacing w:line="400" w:lineRule="exact"/>
        <w:ind w:firstLine="840" w:firstLineChars="300"/>
        <w:jc w:val="left"/>
        <w:rPr>
          <w:rFonts w:ascii="宋体" w:hAnsi="宋体" w:cs="黑体"/>
          <w:color w:val="000000"/>
          <w:sz w:val="28"/>
          <w:szCs w:val="28"/>
          <w:highlight w:val="none"/>
        </w:rPr>
      </w:pPr>
    </w:p>
    <w:p w14:paraId="4661B7BF">
      <w:pPr>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南京医科大学全日制本科生学籍管理规定</w:t>
      </w:r>
    </w:p>
    <w:p w14:paraId="1F952D26">
      <w:pPr>
        <w:jc w:val="center"/>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lang w:val="en-US" w:eastAsia="zh-CN"/>
        </w:rPr>
        <w:t>2022年修订</w:t>
      </w:r>
      <w:r>
        <w:rPr>
          <w:rFonts w:hint="eastAsia" w:ascii="黑体" w:hAnsi="黑体" w:eastAsia="黑体" w:cs="黑体"/>
          <w:color w:val="000000"/>
          <w:sz w:val="32"/>
          <w:szCs w:val="32"/>
          <w:highlight w:val="none"/>
          <w:lang w:eastAsia="zh-CN"/>
        </w:rPr>
        <w:t>）</w:t>
      </w:r>
    </w:p>
    <w:p w14:paraId="5A15D651">
      <w:pPr>
        <w:rPr>
          <w:rFonts w:hint="eastAsia" w:ascii="黑体" w:hAnsi="黑体" w:eastAsia="黑体" w:cs="黑体"/>
          <w:color w:val="000000"/>
          <w:highlight w:val="none"/>
        </w:rPr>
      </w:pPr>
    </w:p>
    <w:p w14:paraId="2318965B">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第一章  总  则</w:t>
      </w:r>
    </w:p>
    <w:p w14:paraId="3A47697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第一条 为维护我校正常的教育教学秩序，保障学生合法权益，培养德、智、体、美等方面全面发展的社会主义建设者和接班人，依据《中华人民共和国教育法》《中华人民共和国高等教育法》《普通高等学校学生管理规定》《南京医科大学章程》等有关法律、法规及章程规定，结合我校实际，特制定本规定。</w:t>
      </w:r>
    </w:p>
    <w:p w14:paraId="09BCB2C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第二条 本规定适用于在我校接受普通高等学历教育的全日制本科生(包括长学制专业本科阶段)的管理。</w:t>
      </w:r>
    </w:p>
    <w:p w14:paraId="37BD53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w:t>
      </w:r>
      <w:r>
        <w:rPr>
          <w:rFonts w:hint="eastAsia" w:ascii="黑体" w:hAnsi="黑体" w:eastAsia="黑体" w:cs="黑体"/>
          <w:color w:val="000000"/>
          <w:spacing w:val="4"/>
          <w:highlight w:val="none"/>
        </w:rPr>
        <w:t>义共同理想；应当树立爱国主义思想，具有团结统一、爱好和平、勤劳勇敢、自强不息的精神；应当增强法治观念，遵守宪法、法律、法规，遵守公民道德规范，遵守学校管理制度，具有良好的道德品质和行为习惯；应当牢记学校“博学至精，明德至善”的校训，刻苦学习，勇于探索，积极实践，努力掌握现代科学文化知识和专业技能；应当积极锻炼身体，增进身心健康，提高个人修养，培养审美情趣。</w:t>
      </w:r>
    </w:p>
    <w:p w14:paraId="245E404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第四条 学生在校期间依法享有法律、法规及学校章程规定的权利，承担应尽的义务与责任，开展自我管理、自我服务、自我教育、自我监督。</w:t>
      </w:r>
    </w:p>
    <w:p w14:paraId="3A4E17B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第五条 本校实行学年学分制。</w:t>
      </w:r>
    </w:p>
    <w:p w14:paraId="0DAAC520">
      <w:pPr>
        <w:ind w:firstLine="420" w:firstLineChars="200"/>
        <w:rPr>
          <w:rFonts w:hint="eastAsia" w:ascii="黑体" w:hAnsi="黑体" w:eastAsia="黑体" w:cs="黑体"/>
          <w:color w:val="000000"/>
          <w:highlight w:val="none"/>
        </w:rPr>
      </w:pPr>
    </w:p>
    <w:p w14:paraId="0F953AA6">
      <w:pPr>
        <w:jc w:val="center"/>
        <w:rPr>
          <w:rFonts w:hint="eastAsia" w:ascii="黑体" w:hAnsi="黑体" w:eastAsia="黑体" w:cs="黑体"/>
          <w:color w:val="000000"/>
          <w:highlight w:val="none"/>
        </w:rPr>
      </w:pPr>
      <w:r>
        <w:rPr>
          <w:rFonts w:hint="eastAsia" w:ascii="黑体" w:hAnsi="黑体" w:eastAsia="黑体" w:cs="黑体"/>
          <w:color w:val="000000"/>
          <w:highlight w:val="none"/>
        </w:rPr>
        <w:t>第二章  入学与注册</w:t>
      </w:r>
    </w:p>
    <w:p w14:paraId="43E06BEC">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 xml:space="preserve">第六条 </w:t>
      </w:r>
      <w:r>
        <w:rPr>
          <w:rFonts w:hint="eastAsia" w:ascii="黑体" w:hAnsi="黑体" w:eastAsia="黑体" w:cs="黑体"/>
          <w:color w:val="000000"/>
          <w:spacing w:val="-4"/>
          <w:highlight w:val="none"/>
        </w:rPr>
        <w:t>按国家规定录取的本校新生须持录取通知书及规定的有关证件，按期到校办理入学手续。因故不能按期入学者，应及时向教务处说明原因，办理请假手续，假期一般不得超过两周。除因不可抗力等正当事由外，凡未经请假或请假超过两周者，视为自动放弃入学资格。</w:t>
      </w:r>
    </w:p>
    <w:p w14:paraId="6FF42CB2">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第七条 学校在新生报到时对其入学资格进行初步审查，审查合格</w:t>
      </w:r>
      <w:r>
        <w:rPr>
          <w:rFonts w:hint="eastAsia" w:ascii="黑体" w:hAnsi="黑体" w:eastAsia="黑体" w:cs="黑体"/>
          <w:color w:val="000000"/>
          <w:highlight w:val="none"/>
          <w:lang w:val="en-US" w:eastAsia="zh-CN"/>
        </w:rPr>
        <w:t>后</w:t>
      </w:r>
      <w:r>
        <w:rPr>
          <w:rFonts w:hint="eastAsia" w:ascii="黑体" w:hAnsi="黑体" w:eastAsia="黑体" w:cs="黑体"/>
          <w:color w:val="000000"/>
          <w:highlight w:val="none"/>
        </w:rPr>
        <w:t>办理入学手续并予以注册学籍；审查发现新生的录取通知</w:t>
      </w:r>
      <w:r>
        <w:rPr>
          <w:rFonts w:hint="eastAsia" w:ascii="黑体" w:hAnsi="黑体" w:eastAsia="黑体" w:cs="黑体"/>
          <w:color w:val="000000"/>
          <w:highlight w:val="none"/>
          <w:lang w:val="en-US" w:eastAsia="zh-CN"/>
        </w:rPr>
        <w:t>书</w:t>
      </w:r>
      <w:r>
        <w:rPr>
          <w:rFonts w:hint="eastAsia" w:ascii="黑体" w:hAnsi="黑体" w:eastAsia="黑体" w:cs="黑体"/>
          <w:color w:val="000000"/>
          <w:highlight w:val="none"/>
        </w:rPr>
        <w:t>、考生信息等证明材料与本人实际情况不符，或者有其他违反国家招生考试规定情形的，取消其入学资格。</w:t>
      </w:r>
    </w:p>
    <w:p w14:paraId="715FB84C">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第八条 新生可以申请保留入学资格。保留入学资格期间不具有学籍。</w:t>
      </w:r>
    </w:p>
    <w:p w14:paraId="1F4F1900">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因病经二级甲等</w:t>
      </w:r>
      <w:r>
        <w:rPr>
          <w:rFonts w:hint="eastAsia" w:ascii="黑体" w:hAnsi="黑体" w:eastAsia="黑体" w:cs="黑体"/>
          <w:color w:val="000000"/>
          <w:highlight w:val="none"/>
          <w:lang w:eastAsia="zh-CN"/>
        </w:rPr>
        <w:t>及</w:t>
      </w:r>
      <w:r>
        <w:rPr>
          <w:rFonts w:hint="eastAsia" w:ascii="黑体" w:hAnsi="黑体" w:eastAsia="黑体" w:cs="黑体"/>
          <w:color w:val="000000"/>
          <w:highlight w:val="none"/>
        </w:rPr>
        <w:t>以上医院或本校门诊部诊断，认为不宜在学校学习、但经短期治疗后可达到健康标准的，由新生本人申请并提交相关证明材料、学校批准，可保留入学资格1年</w:t>
      </w:r>
      <w:r>
        <w:rPr>
          <w:rFonts w:hint="default" w:ascii="黑体" w:hAnsi="黑体" w:eastAsia="黑体" w:cs="黑体"/>
          <w:color w:val="000000"/>
          <w:highlight w:val="none"/>
        </w:rPr>
        <w:t>；</w:t>
      </w: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应征参加中国人民解放军(含中国人民武装警察部队)，由新生本人申请并提交相关证明材料、学校批准，可保留入学资格至退役后2年；</w:t>
      </w:r>
    </w:p>
    <w:p w14:paraId="5A523D7B">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因其他因素无法入学的，由新生本人申请、学校批准，可保留入学资格1年；</w:t>
      </w:r>
    </w:p>
    <w:p w14:paraId="73B34FAD">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新生保留入学资格期满前应向学校提出入学申请，经学校审查合格后，办理入学手续。审查不合格的，取消入学资格；逾期不办理入学手续且未有因不可抗力延迟等正当理由的，视为放弃入学资格。</w:t>
      </w:r>
    </w:p>
    <w:p w14:paraId="1B5EEC10">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第九条 新生入学后，学校在3个月内按照国家招生规定对其进行复查。复查内容主要包括以下方面：</w:t>
      </w:r>
    </w:p>
    <w:p w14:paraId="08CE79ED">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录取手续及程序等是否合乎国家招生规定；</w:t>
      </w:r>
    </w:p>
    <w:p w14:paraId="44C2EFF7">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所获得的录取资格是否真实、合乎相关规定；</w:t>
      </w:r>
    </w:p>
    <w:p w14:paraId="75411C4F">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本人及身份证明与录取通知、考生档案等是否一致；</w:t>
      </w:r>
    </w:p>
    <w:p w14:paraId="021B40F8">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身心健康状况是否符合报考专业或者专业类别体检要求，能否保证在校正常学习、生活；</w:t>
      </w:r>
    </w:p>
    <w:p w14:paraId="37BDFF1D">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艺术、体育等特殊类型录取学生的专业水平是否符合录取要求。</w:t>
      </w:r>
    </w:p>
    <w:p w14:paraId="77C384C8">
      <w:pPr>
        <w:tabs>
          <w:tab w:val="left" w:pos="1260"/>
        </w:tabs>
        <w:ind w:firstLine="420"/>
        <w:rPr>
          <w:rFonts w:hint="eastAsia" w:ascii="黑体" w:hAnsi="黑体" w:eastAsia="黑体" w:cs="黑体"/>
          <w:color w:val="000000"/>
          <w:highlight w:val="none"/>
        </w:rPr>
      </w:pPr>
      <w:r>
        <w:rPr>
          <w:rFonts w:hint="eastAsia" w:ascii="黑体" w:hAnsi="黑体" w:eastAsia="黑体" w:cs="黑体"/>
          <w:color w:val="000000"/>
          <w:highlight w:val="none"/>
        </w:rPr>
        <w:t>复查中发现学生存在弄虚作假、徇私舞弊等情形的，确定为复查不合格，予以取消学籍；情节严重的，移交有关部门调查处理。</w:t>
      </w:r>
    </w:p>
    <w:p w14:paraId="24E1DAD6">
      <w:pPr>
        <w:tabs>
          <w:tab w:val="left" w:pos="126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第十条 新生入学时，必须接受体检。如发现患有疾病，经学校指定的二级甲等</w:t>
      </w:r>
      <w:r>
        <w:rPr>
          <w:rFonts w:hint="eastAsia" w:ascii="黑体" w:hAnsi="黑体" w:eastAsia="黑体" w:cs="黑体"/>
          <w:color w:val="000000"/>
          <w:highlight w:val="none"/>
          <w:lang w:val="en-US" w:eastAsia="zh-CN"/>
        </w:rPr>
        <w:t>及</w:t>
      </w:r>
      <w:r>
        <w:rPr>
          <w:rFonts w:hint="eastAsia" w:ascii="黑体" w:hAnsi="黑体" w:eastAsia="黑体" w:cs="黑体"/>
          <w:color w:val="000000"/>
          <w:highlight w:val="none"/>
        </w:rPr>
        <w:t>以上医院(下同)确诊为短期治疗可以达到健康标准的，可保留入学资格一年。保留入学资格的学生病愈后申请复学，应于下学年开学前，持二级甲等以上医院证明向教务处提出申请，经校门诊部复查，确已符合体检标准者，方可办理入学手续。经复查不合格或逾期不办理入学手续者，取消入学资格。</w:t>
      </w:r>
    </w:p>
    <w:p w14:paraId="3ADFB407">
      <w:pPr>
        <w:tabs>
          <w:tab w:val="left" w:pos="126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第十一条 新生应于入学当年规定时间内在学信网进行新生学籍自查，核实本人学籍是否注册、信息是否准确等。</w:t>
      </w:r>
    </w:p>
    <w:p w14:paraId="1D4C9C4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第十二条 每学期开学学生必须在学校规定时间内到校办理本学期缴费和注册手续。按规定缴费后方可办理注册登记，以取得本学期学习资格。未按学校规定缴纳学费或其他不符合注册条件的不予注册；家庭经济确有困难的学生可以申请助学贷款或其他形式的资助，办理有关手续后予以注册。因故不能按期到校注册者，必须事先履行请假手续，请假不能超过两周。凡开学后两周内未注册者，视为放弃学籍，按退学处理。</w:t>
      </w:r>
    </w:p>
    <w:p w14:paraId="6385D97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第十三条 新生入学资格通过学校初步审查，并按照入学手续办理报到后，因个人原因不能继续在校学习的，作退学处理，按照学校规定办理退学手续。</w:t>
      </w:r>
    </w:p>
    <w:p w14:paraId="641C7970">
      <w:pPr>
        <w:ind w:firstLine="420" w:firstLineChars="200"/>
        <w:rPr>
          <w:rFonts w:hint="eastAsia" w:ascii="黑体" w:hAnsi="黑体" w:eastAsia="黑体" w:cs="黑体"/>
          <w:color w:val="000000"/>
          <w:highlight w:val="none"/>
        </w:rPr>
      </w:pPr>
    </w:p>
    <w:p w14:paraId="5C5B9F5D">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第三章  考核与成绩记载</w:t>
      </w:r>
    </w:p>
    <w:p w14:paraId="1E12B7AE">
      <w:pPr>
        <w:tabs>
          <w:tab w:val="left" w:pos="90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rPr>
        <w:t>条 学生应当参加学校教育教学计划规定的课程和各种教育教学环节(以下统称课程)的学习与考核，考核成绩记入成绩册，并归入学籍</w:t>
      </w:r>
      <w:r>
        <w:rPr>
          <w:rFonts w:hint="eastAsia" w:ascii="黑体" w:hAnsi="黑体" w:eastAsia="黑体" w:cs="黑体"/>
          <w:color w:val="000000"/>
          <w:spacing w:val="4"/>
          <w:highlight w:val="none"/>
        </w:rPr>
        <w:t>档案。学校按照学生学业成绩管理制度，真实、完整地记载、出具学生学业成绩，对通过补考、</w:t>
      </w:r>
      <w:r>
        <w:rPr>
          <w:rFonts w:hint="eastAsia" w:ascii="黑体" w:hAnsi="黑体" w:eastAsia="黑体" w:cs="黑体"/>
          <w:color w:val="000000"/>
          <w:spacing w:val="4"/>
          <w:highlight w:val="none"/>
          <w:lang w:eastAsia="zh-CN"/>
        </w:rPr>
        <w:t>重修</w:t>
      </w:r>
      <w:r>
        <w:rPr>
          <w:rFonts w:hint="eastAsia" w:ascii="黑体" w:hAnsi="黑体" w:eastAsia="黑体" w:cs="黑体"/>
          <w:color w:val="000000"/>
          <w:spacing w:val="4"/>
          <w:highlight w:val="none"/>
        </w:rPr>
        <w:t>获得的成绩，予以标注记载。</w:t>
      </w:r>
    </w:p>
    <w:p w14:paraId="4CCAEBA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五</w:t>
      </w:r>
      <w:r>
        <w:rPr>
          <w:rFonts w:hint="eastAsia" w:ascii="黑体" w:hAnsi="黑体" w:eastAsia="黑体" w:cs="黑体"/>
          <w:color w:val="000000"/>
          <w:highlight w:val="none"/>
        </w:rPr>
        <w:t>条 学生思想品德的考核、鉴定，以本规定第三条为主要依据，采取个人小结、师生民主评议等形式进行。</w:t>
      </w:r>
    </w:p>
    <w:p w14:paraId="68DD95B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六</w:t>
      </w:r>
      <w:r>
        <w:rPr>
          <w:rFonts w:hint="eastAsia" w:ascii="黑体" w:hAnsi="黑体" w:eastAsia="黑体" w:cs="黑体"/>
          <w:color w:val="000000"/>
          <w:highlight w:val="none"/>
        </w:rPr>
        <w:t>条 体育课为必修课，体育课的成绩应根据考勤、课内教学、课外锻炼活动和体质健康等情况综合评定，具体计算方法按南京医科大学体育教学大纲和考核大纲执行。</w:t>
      </w:r>
    </w:p>
    <w:p w14:paraId="14652D0E">
      <w:pPr>
        <w:tabs>
          <w:tab w:val="left" w:pos="90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七</w:t>
      </w:r>
      <w:r>
        <w:rPr>
          <w:rFonts w:hint="eastAsia" w:ascii="黑体" w:hAnsi="黑体" w:eastAsia="黑体" w:cs="黑体"/>
          <w:color w:val="000000"/>
          <w:highlight w:val="none"/>
        </w:rPr>
        <w:t>条 学生参加创新创业、社会实践等活动以及发表论文、获得专利授权等与专业学习、学业要求相关的经历、成果，可以折算为创新创业学分，计入学业成绩。</w:t>
      </w:r>
    </w:p>
    <w:p w14:paraId="1FB5DC42">
      <w:pPr>
        <w:tabs>
          <w:tab w:val="left" w:pos="90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八</w:t>
      </w:r>
      <w:r>
        <w:rPr>
          <w:rFonts w:hint="eastAsia" w:ascii="黑体" w:hAnsi="黑体" w:eastAsia="黑体" w:cs="黑体"/>
          <w:color w:val="000000"/>
          <w:highlight w:val="none"/>
        </w:rPr>
        <w:t xml:space="preserve">条 </w:t>
      </w:r>
      <w:r>
        <w:rPr>
          <w:rFonts w:hint="eastAsia" w:ascii="黑体" w:hAnsi="黑体" w:eastAsia="黑体" w:cs="黑体"/>
          <w:color w:val="000000"/>
          <w:spacing w:val="-4"/>
          <w:highlight w:val="none"/>
        </w:rPr>
        <w:t>按校际间协议，学生在我校认可的其他大学学习教学计划规定课程的成绩，经外校教务管理部门文件证明，可按我校学分规定记入成绩册。教学计划以外的课程则可作为选修课记录成绩和学分。</w:t>
      </w:r>
    </w:p>
    <w:p w14:paraId="1D1553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九</w:t>
      </w:r>
      <w:r>
        <w:rPr>
          <w:rFonts w:hint="eastAsia" w:ascii="黑体" w:hAnsi="黑体" w:eastAsia="黑体" w:cs="黑体"/>
          <w:color w:val="000000"/>
          <w:highlight w:val="none"/>
        </w:rPr>
        <w:t>条 课程考核由过程考核和期末考核两部分组成，</w:t>
      </w:r>
      <w:r>
        <w:rPr>
          <w:rFonts w:hint="eastAsia" w:ascii="黑体" w:hAnsi="黑体" w:eastAsia="黑体" w:cs="黑体"/>
          <w:color w:val="000000"/>
          <w:highlight w:val="none"/>
          <w:lang w:val="en-US" w:eastAsia="zh-CN"/>
        </w:rPr>
        <w:t>一般情况下，过程考核和期末考核按照不同占比（具体由任课老师确定）折算出最终的</w:t>
      </w:r>
      <w:r>
        <w:rPr>
          <w:rFonts w:hint="eastAsia" w:ascii="黑体" w:hAnsi="黑体" w:eastAsia="黑体" w:cs="黑体"/>
          <w:color w:val="000000"/>
          <w:spacing w:val="-4"/>
          <w:highlight w:val="none"/>
        </w:rPr>
        <w:t>课程总评成绩。</w:t>
      </w:r>
      <w:r>
        <w:rPr>
          <w:rFonts w:hint="eastAsia" w:ascii="黑体" w:hAnsi="黑体" w:eastAsia="黑体" w:cs="黑体"/>
          <w:color w:val="000000"/>
          <w:spacing w:val="-4"/>
          <w:highlight w:val="none"/>
          <w:lang w:eastAsia="zh-CN"/>
        </w:rPr>
        <w:t>如期末考核不合格，则总评成绩不合格、同时过程考核不纳入总评成绩计算。</w:t>
      </w:r>
      <w:r>
        <w:rPr>
          <w:rFonts w:hint="eastAsia" w:ascii="黑体" w:hAnsi="黑体" w:eastAsia="黑体" w:cs="黑体"/>
          <w:color w:val="000000"/>
          <w:spacing w:val="-4"/>
          <w:highlight w:val="none"/>
          <w:lang w:val="en-US" w:eastAsia="zh-CN"/>
        </w:rPr>
        <w:t>其他情况则正常按比例计算总评成绩。</w:t>
      </w:r>
      <w:r>
        <w:rPr>
          <w:rFonts w:hint="eastAsia" w:ascii="黑体" w:hAnsi="黑体" w:eastAsia="黑体" w:cs="黑体"/>
          <w:color w:val="000000"/>
          <w:spacing w:val="-4"/>
          <w:highlight w:val="none"/>
        </w:rPr>
        <w:t>考核方法可根据课程的不同特点，采取笔试、口试及实际操作等形式。</w:t>
      </w:r>
      <w:r>
        <w:rPr>
          <w:rFonts w:hint="eastAsia" w:ascii="黑体" w:hAnsi="黑体" w:eastAsia="黑体" w:cs="黑体"/>
          <w:color w:val="000000"/>
          <w:spacing w:val="-4"/>
          <w:highlight w:val="none"/>
        </w:rPr>
        <w:t>课程考核成绩的评定采用百分制</w:t>
      </w:r>
      <w:r>
        <w:rPr>
          <w:rFonts w:hint="eastAsia" w:ascii="黑体" w:hAnsi="黑体" w:eastAsia="黑体" w:cs="黑体"/>
          <w:color w:val="000000"/>
          <w:spacing w:val="-4"/>
          <w:highlight w:val="none"/>
          <w:lang w:eastAsia="zh-CN"/>
        </w:rPr>
        <w:t>（保留一位小数）</w:t>
      </w:r>
      <w:r>
        <w:rPr>
          <w:rFonts w:hint="eastAsia" w:ascii="黑体" w:hAnsi="黑体" w:eastAsia="黑体" w:cs="黑体"/>
          <w:color w:val="000000"/>
          <w:spacing w:val="-4"/>
          <w:highlight w:val="none"/>
        </w:rPr>
        <w:t>、五级制(优、良、中、及格、不及格)或二级制(合格、不合格)评定。</w:t>
      </w:r>
    </w:p>
    <w:p w14:paraId="32523ED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w:t>
      </w:r>
      <w:r>
        <w:rPr>
          <w:rFonts w:hint="eastAsia" w:ascii="黑体" w:hAnsi="黑体" w:eastAsia="黑体" w:cs="黑体"/>
          <w:color w:val="000000"/>
          <w:highlight w:val="none"/>
          <w:lang w:val="en-US" w:eastAsia="zh-CN"/>
        </w:rPr>
        <w:t>二十</w:t>
      </w:r>
      <w:r>
        <w:rPr>
          <w:rFonts w:hint="eastAsia" w:ascii="黑体" w:hAnsi="黑体" w:eastAsia="黑体" w:cs="黑体"/>
          <w:color w:val="000000"/>
          <w:highlight w:val="none"/>
        </w:rPr>
        <w:t>条 成绩记载办法如下：</w:t>
      </w:r>
    </w:p>
    <w:p w14:paraId="154764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1.学分计算：</w:t>
      </w:r>
      <w:r>
        <w:rPr>
          <w:rFonts w:hint="eastAsia" w:ascii="黑体" w:hAnsi="黑体" w:eastAsia="黑体" w:cs="黑体"/>
          <w:color w:val="000000"/>
          <w:highlight w:val="none"/>
        </w:rPr>
        <w:t>每门课程一般修满1</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学时为1学分，</w:t>
      </w:r>
      <w:r>
        <w:rPr>
          <w:rFonts w:hint="eastAsia" w:ascii="黑体" w:hAnsi="黑体" w:eastAsia="黑体" w:cs="黑体"/>
          <w:color w:val="000000"/>
          <w:highlight w:val="none"/>
        </w:rPr>
        <w:t>各门课程的学时</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学分</w:t>
      </w:r>
      <w:r>
        <w:rPr>
          <w:rFonts w:hint="eastAsia" w:ascii="黑体" w:hAnsi="黑体" w:eastAsia="黑体" w:cs="黑体"/>
          <w:color w:val="000000"/>
          <w:highlight w:val="none"/>
          <w:lang w:eastAsia="zh-CN"/>
        </w:rPr>
        <w:t>及课程性质</w:t>
      </w:r>
      <w:r>
        <w:rPr>
          <w:rFonts w:hint="eastAsia" w:ascii="黑体" w:hAnsi="黑体" w:eastAsia="黑体" w:cs="黑体"/>
          <w:color w:val="000000"/>
          <w:highlight w:val="none"/>
        </w:rPr>
        <w:t>按我校各专业培养方案执行</w:t>
      </w:r>
      <w:r>
        <w:rPr>
          <w:rFonts w:hint="eastAsia" w:ascii="黑体" w:hAnsi="黑体" w:eastAsia="黑体" w:cs="黑体"/>
          <w:color w:val="000000"/>
          <w:highlight w:val="none"/>
          <w:lang w:eastAsia="zh-CN"/>
        </w:rPr>
        <w:t>，可在教务系统查询相应专业课程体系</w:t>
      </w:r>
      <w:r>
        <w:rPr>
          <w:rFonts w:hint="eastAsia" w:ascii="黑体" w:hAnsi="黑体" w:eastAsia="黑体" w:cs="黑体"/>
          <w:color w:val="000000"/>
          <w:highlight w:val="none"/>
        </w:rPr>
        <w:t>。临床医学类专业的《内科学》《外科学》以统考成绩计算学位课程绩点，学分按总学分计；若非统考课程考试不合格，以实际</w:t>
      </w:r>
      <w:r>
        <w:rPr>
          <w:rFonts w:hint="eastAsia" w:ascii="黑体" w:hAnsi="黑体" w:eastAsia="黑体" w:cs="黑体"/>
          <w:color w:val="000000"/>
          <w:highlight w:val="none"/>
          <w:lang w:eastAsia="zh-CN"/>
        </w:rPr>
        <w:t>学分</w:t>
      </w:r>
      <w:r>
        <w:rPr>
          <w:rFonts w:hint="eastAsia" w:ascii="黑体" w:hAnsi="黑体" w:eastAsia="黑体" w:cs="黑体"/>
          <w:color w:val="000000"/>
          <w:highlight w:val="none"/>
        </w:rPr>
        <w:t>计入未取得学分课程，若统考考试不合格，以该课程总学分计入未取得学分课程。</w:t>
      </w:r>
    </w:p>
    <w:p w14:paraId="28E7A16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集中安排的军训、实习、社会调查等以1周计1学分。入学教育、毕业教育等不计学分，但学生必须参加。</w:t>
      </w:r>
    </w:p>
    <w:p w14:paraId="684B9D8F">
      <w:pPr>
        <w:spacing w:after="156" w:afterLines="50"/>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w:t>
      </w:r>
      <w:r>
        <w:rPr>
          <w:rFonts w:hint="eastAsia" w:ascii="黑体" w:hAnsi="黑体" w:eastAsia="黑体" w:cs="黑体"/>
          <w:color w:val="000000"/>
          <w:highlight w:val="none"/>
          <w:lang w:eastAsia="zh-CN"/>
        </w:rPr>
        <w:t>一般百分制成绩保留一位小数，绩点保留两位小数。</w:t>
      </w:r>
    </w:p>
    <w:p w14:paraId="58DD0B25">
      <w:pPr>
        <w:spacing w:after="156" w:afterLines="50"/>
        <w:jc w:val="center"/>
        <w:rPr>
          <w:rFonts w:hint="eastAsia" w:ascii="黑体" w:hAnsi="黑体" w:eastAsia="黑体" w:cs="黑体"/>
          <w:color w:val="000000"/>
          <w:highlight w:val="none"/>
          <w:lang w:eastAsia="zh-CN"/>
        </w:rPr>
      </w:pPr>
      <w:r>
        <w:rPr>
          <w:rFonts w:hint="eastAsia" w:ascii="黑体" w:hAnsi="黑体" w:eastAsia="黑体" w:cs="黑体"/>
          <w:color w:val="000000"/>
          <w:highlight w:val="none"/>
        </w:rPr>
        <w:t>成绩与绩点换算表</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425"/>
        <w:gridCol w:w="885"/>
        <w:gridCol w:w="840"/>
        <w:gridCol w:w="1125"/>
      </w:tblGrid>
      <w:tr w14:paraId="057647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59A940A7">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成绩</w:t>
            </w:r>
          </w:p>
        </w:tc>
        <w:tc>
          <w:tcPr>
            <w:tcW w:w="1425" w:type="dxa"/>
            <w:noWrap w:val="0"/>
            <w:vAlign w:val="center"/>
          </w:tcPr>
          <w:p w14:paraId="7710DC8E">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绩点</w:t>
            </w:r>
          </w:p>
        </w:tc>
        <w:tc>
          <w:tcPr>
            <w:tcW w:w="885" w:type="dxa"/>
            <w:noWrap w:val="0"/>
            <w:vAlign w:val="center"/>
          </w:tcPr>
          <w:p w14:paraId="5A46D707">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等级</w:t>
            </w:r>
          </w:p>
        </w:tc>
        <w:tc>
          <w:tcPr>
            <w:tcW w:w="840" w:type="dxa"/>
            <w:noWrap w:val="0"/>
            <w:vAlign w:val="center"/>
          </w:tcPr>
          <w:p w14:paraId="2993482A">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绩点</w:t>
            </w:r>
          </w:p>
        </w:tc>
        <w:tc>
          <w:tcPr>
            <w:tcW w:w="1125" w:type="dxa"/>
            <w:noWrap w:val="0"/>
            <w:vAlign w:val="center"/>
          </w:tcPr>
          <w:p w14:paraId="1BCBB291">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等级制换算成成绩</w:t>
            </w:r>
          </w:p>
        </w:tc>
      </w:tr>
      <w:tr w14:paraId="05EDE1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126BEB91">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90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—100</w:t>
            </w:r>
            <w:r>
              <w:rPr>
                <w:rFonts w:hint="eastAsia" w:ascii="黑体" w:hAnsi="黑体" w:eastAsia="黑体" w:cs="黑体"/>
                <w:color w:val="000000"/>
                <w:highlight w:val="none"/>
                <w:lang w:val="en-US" w:eastAsia="zh-CN"/>
              </w:rPr>
              <w:t>.0</w:t>
            </w:r>
          </w:p>
        </w:tc>
        <w:tc>
          <w:tcPr>
            <w:tcW w:w="1425" w:type="dxa"/>
            <w:noWrap w:val="0"/>
            <w:vAlign w:val="center"/>
          </w:tcPr>
          <w:p w14:paraId="3132CF37">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--5.0</w:t>
            </w:r>
            <w:r>
              <w:rPr>
                <w:rFonts w:hint="eastAsia" w:ascii="黑体" w:hAnsi="黑体" w:eastAsia="黑体" w:cs="黑体"/>
                <w:color w:val="000000"/>
                <w:highlight w:val="none"/>
                <w:lang w:val="en-US" w:eastAsia="zh-CN"/>
              </w:rPr>
              <w:t>0</w:t>
            </w:r>
          </w:p>
        </w:tc>
        <w:tc>
          <w:tcPr>
            <w:tcW w:w="885" w:type="dxa"/>
            <w:noWrap w:val="0"/>
            <w:vAlign w:val="center"/>
          </w:tcPr>
          <w:p w14:paraId="3252D1D0">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优</w:t>
            </w:r>
          </w:p>
        </w:tc>
        <w:tc>
          <w:tcPr>
            <w:tcW w:w="840" w:type="dxa"/>
            <w:noWrap w:val="0"/>
            <w:vAlign w:val="center"/>
          </w:tcPr>
          <w:p w14:paraId="20FE74C1">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4.5</w:t>
            </w:r>
            <w:r>
              <w:rPr>
                <w:rFonts w:hint="eastAsia" w:ascii="黑体" w:hAnsi="黑体" w:eastAsia="黑体" w:cs="黑体"/>
                <w:color w:val="000000"/>
                <w:highlight w:val="none"/>
                <w:lang w:val="en-US" w:eastAsia="zh-CN"/>
              </w:rPr>
              <w:t>0</w:t>
            </w:r>
          </w:p>
        </w:tc>
        <w:tc>
          <w:tcPr>
            <w:tcW w:w="1125" w:type="dxa"/>
            <w:noWrap w:val="0"/>
            <w:vAlign w:val="center"/>
          </w:tcPr>
          <w:p w14:paraId="1F5C12BE">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95</w:t>
            </w:r>
            <w:r>
              <w:rPr>
                <w:rFonts w:hint="eastAsia" w:ascii="黑体" w:hAnsi="黑体" w:eastAsia="黑体" w:cs="黑体"/>
                <w:color w:val="000000"/>
                <w:highlight w:val="none"/>
                <w:lang w:val="en-US" w:eastAsia="zh-CN"/>
              </w:rPr>
              <w:t>.0</w:t>
            </w:r>
          </w:p>
        </w:tc>
      </w:tr>
      <w:tr w14:paraId="3AC537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11AADB12">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80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—89</w:t>
            </w:r>
            <w:r>
              <w:rPr>
                <w:rFonts w:hint="eastAsia" w:ascii="黑体" w:hAnsi="黑体" w:eastAsia="黑体" w:cs="黑体"/>
                <w:color w:val="000000"/>
                <w:highlight w:val="none"/>
                <w:lang w:val="en-US" w:eastAsia="zh-CN"/>
              </w:rPr>
              <w:t>.0</w:t>
            </w:r>
          </w:p>
        </w:tc>
        <w:tc>
          <w:tcPr>
            <w:tcW w:w="1425" w:type="dxa"/>
            <w:noWrap w:val="0"/>
            <w:vAlign w:val="center"/>
          </w:tcPr>
          <w:p w14:paraId="18C12BB2">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3.0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--3.9</w:t>
            </w:r>
            <w:r>
              <w:rPr>
                <w:rFonts w:hint="eastAsia" w:ascii="黑体" w:hAnsi="黑体" w:eastAsia="黑体" w:cs="黑体"/>
                <w:color w:val="000000"/>
                <w:highlight w:val="none"/>
                <w:lang w:val="en-US" w:eastAsia="zh-CN"/>
              </w:rPr>
              <w:t>0</w:t>
            </w:r>
          </w:p>
        </w:tc>
        <w:tc>
          <w:tcPr>
            <w:tcW w:w="885" w:type="dxa"/>
            <w:noWrap w:val="0"/>
            <w:vAlign w:val="center"/>
          </w:tcPr>
          <w:p w14:paraId="0577F2E2">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良</w:t>
            </w:r>
          </w:p>
        </w:tc>
        <w:tc>
          <w:tcPr>
            <w:tcW w:w="840" w:type="dxa"/>
            <w:noWrap w:val="0"/>
            <w:vAlign w:val="center"/>
          </w:tcPr>
          <w:p w14:paraId="7B3A2539">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3.5</w:t>
            </w:r>
            <w:r>
              <w:rPr>
                <w:rFonts w:hint="eastAsia" w:ascii="黑体" w:hAnsi="黑体" w:eastAsia="黑体" w:cs="黑体"/>
                <w:color w:val="000000"/>
                <w:highlight w:val="none"/>
                <w:lang w:val="en-US" w:eastAsia="zh-CN"/>
              </w:rPr>
              <w:t>0</w:t>
            </w:r>
          </w:p>
        </w:tc>
        <w:tc>
          <w:tcPr>
            <w:tcW w:w="1125" w:type="dxa"/>
            <w:noWrap w:val="0"/>
            <w:vAlign w:val="center"/>
          </w:tcPr>
          <w:p w14:paraId="650E2A64">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85</w:t>
            </w:r>
            <w:r>
              <w:rPr>
                <w:rFonts w:hint="eastAsia" w:ascii="黑体" w:hAnsi="黑体" w:eastAsia="黑体" w:cs="黑体"/>
                <w:color w:val="000000"/>
                <w:highlight w:val="none"/>
                <w:lang w:val="en-US" w:eastAsia="zh-CN"/>
              </w:rPr>
              <w:t>.0</w:t>
            </w:r>
          </w:p>
        </w:tc>
      </w:tr>
      <w:tr w14:paraId="0BC3C4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43937163">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70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—79</w:t>
            </w:r>
            <w:r>
              <w:rPr>
                <w:rFonts w:hint="eastAsia" w:ascii="黑体" w:hAnsi="黑体" w:eastAsia="黑体" w:cs="黑体"/>
                <w:color w:val="000000"/>
                <w:highlight w:val="none"/>
                <w:lang w:val="en-US" w:eastAsia="zh-CN"/>
              </w:rPr>
              <w:t>.0</w:t>
            </w:r>
          </w:p>
        </w:tc>
        <w:tc>
          <w:tcPr>
            <w:tcW w:w="1425" w:type="dxa"/>
            <w:noWrap w:val="0"/>
            <w:vAlign w:val="center"/>
          </w:tcPr>
          <w:p w14:paraId="79C4C8F4">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--2.9</w:t>
            </w:r>
            <w:r>
              <w:rPr>
                <w:rFonts w:hint="eastAsia" w:ascii="黑体" w:hAnsi="黑体" w:eastAsia="黑体" w:cs="黑体"/>
                <w:color w:val="000000"/>
                <w:highlight w:val="none"/>
                <w:lang w:val="en-US" w:eastAsia="zh-CN"/>
              </w:rPr>
              <w:t>0</w:t>
            </w:r>
          </w:p>
        </w:tc>
        <w:tc>
          <w:tcPr>
            <w:tcW w:w="885" w:type="dxa"/>
            <w:noWrap w:val="0"/>
            <w:vAlign w:val="center"/>
          </w:tcPr>
          <w:p w14:paraId="3C98F3DD">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中</w:t>
            </w:r>
          </w:p>
        </w:tc>
        <w:tc>
          <w:tcPr>
            <w:tcW w:w="840" w:type="dxa"/>
            <w:noWrap w:val="0"/>
            <w:vAlign w:val="center"/>
          </w:tcPr>
          <w:p w14:paraId="0B078F6F">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2.5</w:t>
            </w:r>
            <w:r>
              <w:rPr>
                <w:rFonts w:hint="eastAsia" w:ascii="黑体" w:hAnsi="黑体" w:eastAsia="黑体" w:cs="黑体"/>
                <w:color w:val="000000"/>
                <w:highlight w:val="none"/>
                <w:lang w:val="en-US" w:eastAsia="zh-CN"/>
              </w:rPr>
              <w:t>0</w:t>
            </w:r>
          </w:p>
        </w:tc>
        <w:tc>
          <w:tcPr>
            <w:tcW w:w="1125" w:type="dxa"/>
            <w:noWrap w:val="0"/>
            <w:vAlign w:val="center"/>
          </w:tcPr>
          <w:p w14:paraId="7AA85B5E">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75</w:t>
            </w:r>
            <w:r>
              <w:rPr>
                <w:rFonts w:hint="eastAsia" w:ascii="黑体" w:hAnsi="黑体" w:eastAsia="黑体" w:cs="黑体"/>
                <w:color w:val="000000"/>
                <w:highlight w:val="none"/>
                <w:lang w:val="en-US" w:eastAsia="zh-CN"/>
              </w:rPr>
              <w:t>.0</w:t>
            </w:r>
          </w:p>
        </w:tc>
      </w:tr>
      <w:tr w14:paraId="6AC6E1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0E34BA73">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60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—69</w:t>
            </w:r>
            <w:r>
              <w:rPr>
                <w:rFonts w:hint="eastAsia" w:ascii="黑体" w:hAnsi="黑体" w:eastAsia="黑体" w:cs="黑体"/>
                <w:color w:val="000000"/>
                <w:highlight w:val="none"/>
                <w:lang w:val="en-US" w:eastAsia="zh-CN"/>
              </w:rPr>
              <w:t>.0</w:t>
            </w:r>
          </w:p>
        </w:tc>
        <w:tc>
          <w:tcPr>
            <w:tcW w:w="1425" w:type="dxa"/>
            <w:noWrap w:val="0"/>
            <w:vAlign w:val="center"/>
          </w:tcPr>
          <w:p w14:paraId="0FFC2672">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1.0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--1.9</w:t>
            </w:r>
            <w:r>
              <w:rPr>
                <w:rFonts w:hint="eastAsia" w:ascii="黑体" w:hAnsi="黑体" w:eastAsia="黑体" w:cs="黑体"/>
                <w:color w:val="000000"/>
                <w:highlight w:val="none"/>
                <w:lang w:val="en-US" w:eastAsia="zh-CN"/>
              </w:rPr>
              <w:t>0</w:t>
            </w:r>
          </w:p>
        </w:tc>
        <w:tc>
          <w:tcPr>
            <w:tcW w:w="885" w:type="dxa"/>
            <w:noWrap w:val="0"/>
            <w:vAlign w:val="center"/>
          </w:tcPr>
          <w:p w14:paraId="76C9731E">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及格</w:t>
            </w:r>
          </w:p>
        </w:tc>
        <w:tc>
          <w:tcPr>
            <w:tcW w:w="840" w:type="dxa"/>
            <w:noWrap w:val="0"/>
            <w:vAlign w:val="center"/>
          </w:tcPr>
          <w:p w14:paraId="6703FCFA">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1.5</w:t>
            </w:r>
            <w:r>
              <w:rPr>
                <w:rFonts w:hint="eastAsia" w:ascii="黑体" w:hAnsi="黑体" w:eastAsia="黑体" w:cs="黑体"/>
                <w:color w:val="000000"/>
                <w:highlight w:val="none"/>
                <w:lang w:val="en-US" w:eastAsia="zh-CN"/>
              </w:rPr>
              <w:t>0</w:t>
            </w:r>
          </w:p>
        </w:tc>
        <w:tc>
          <w:tcPr>
            <w:tcW w:w="1125" w:type="dxa"/>
            <w:noWrap w:val="0"/>
            <w:vAlign w:val="center"/>
          </w:tcPr>
          <w:p w14:paraId="657CB028">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65</w:t>
            </w:r>
            <w:r>
              <w:rPr>
                <w:rFonts w:hint="eastAsia" w:ascii="黑体" w:hAnsi="黑体" w:eastAsia="黑体" w:cs="黑体"/>
                <w:color w:val="000000"/>
                <w:highlight w:val="none"/>
                <w:lang w:val="en-US" w:eastAsia="zh-CN"/>
              </w:rPr>
              <w:t>.0</w:t>
            </w:r>
          </w:p>
        </w:tc>
      </w:tr>
      <w:tr w14:paraId="6763C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3" w:type="dxa"/>
            <w:noWrap w:val="0"/>
            <w:vAlign w:val="center"/>
          </w:tcPr>
          <w:p w14:paraId="2A5CE360">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—59</w:t>
            </w:r>
            <w:r>
              <w:rPr>
                <w:rFonts w:hint="eastAsia" w:ascii="黑体" w:hAnsi="黑体" w:eastAsia="黑体" w:cs="黑体"/>
                <w:color w:val="000000"/>
                <w:highlight w:val="none"/>
                <w:lang w:val="en-US" w:eastAsia="zh-CN"/>
              </w:rPr>
              <w:t>.0</w:t>
            </w:r>
          </w:p>
        </w:tc>
        <w:tc>
          <w:tcPr>
            <w:tcW w:w="1425" w:type="dxa"/>
            <w:noWrap w:val="0"/>
            <w:vAlign w:val="center"/>
          </w:tcPr>
          <w:p w14:paraId="21ABCBB0">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0.</w:t>
            </w:r>
            <w:r>
              <w:rPr>
                <w:rFonts w:hint="eastAsia" w:ascii="黑体" w:hAnsi="黑体" w:eastAsia="黑体" w:cs="黑体"/>
                <w:color w:val="000000"/>
                <w:highlight w:val="none"/>
                <w:lang w:val="en-US" w:eastAsia="zh-CN"/>
              </w:rPr>
              <w:t>00</w:t>
            </w:r>
          </w:p>
        </w:tc>
        <w:tc>
          <w:tcPr>
            <w:tcW w:w="885" w:type="dxa"/>
            <w:noWrap w:val="0"/>
            <w:vAlign w:val="center"/>
          </w:tcPr>
          <w:p w14:paraId="7CE4AB3B">
            <w:pPr>
              <w:spacing w:line="24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不及格</w:t>
            </w:r>
          </w:p>
        </w:tc>
        <w:tc>
          <w:tcPr>
            <w:tcW w:w="840" w:type="dxa"/>
            <w:noWrap w:val="0"/>
            <w:vAlign w:val="center"/>
          </w:tcPr>
          <w:p w14:paraId="3986BED7">
            <w:pPr>
              <w:spacing w:line="240" w:lineRule="exact"/>
              <w:jc w:val="center"/>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0.0</w:t>
            </w:r>
            <w:r>
              <w:rPr>
                <w:rFonts w:hint="eastAsia" w:ascii="黑体" w:hAnsi="黑体" w:eastAsia="黑体" w:cs="黑体"/>
                <w:color w:val="000000"/>
                <w:highlight w:val="none"/>
                <w:lang w:val="en-US" w:eastAsia="zh-CN"/>
              </w:rPr>
              <w:t>0</w:t>
            </w:r>
          </w:p>
        </w:tc>
        <w:tc>
          <w:tcPr>
            <w:tcW w:w="1125" w:type="dxa"/>
            <w:noWrap w:val="0"/>
            <w:vAlign w:val="center"/>
          </w:tcPr>
          <w:p w14:paraId="2DEED22A">
            <w:pPr>
              <w:spacing w:line="240" w:lineRule="exact"/>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55</w:t>
            </w:r>
            <w:r>
              <w:rPr>
                <w:rFonts w:hint="eastAsia" w:ascii="黑体" w:hAnsi="黑体" w:eastAsia="黑体" w:cs="黑体"/>
                <w:color w:val="000000"/>
                <w:highlight w:val="none"/>
                <w:lang w:val="en-US" w:eastAsia="zh-CN"/>
              </w:rPr>
              <w:t>.0</w:t>
            </w:r>
          </w:p>
        </w:tc>
      </w:tr>
    </w:tbl>
    <w:p w14:paraId="734AF0EC">
      <w:pPr>
        <w:spacing w:before="240" w:after="360"/>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.平均学分绩点的计算方法</w:t>
      </w:r>
      <w:r>
        <w:rPr>
          <w:rFonts w:hint="eastAsia" w:ascii="黑体" w:hAnsi="黑体" w:eastAsia="黑体" w:cs="黑体"/>
          <w:color w:val="000000"/>
          <w:highlight w:val="none"/>
          <w:lang w:eastAsia="zh-CN"/>
        </w:rPr>
        <w:t>（保留两位小数）</w:t>
      </w:r>
    </w:p>
    <w:p w14:paraId="250E0132">
      <w:pPr>
        <w:spacing w:before="240"/>
        <w:ind w:firstLine="2415" w:firstLineChars="1150"/>
        <w:rPr>
          <w:rFonts w:hint="eastAsia" w:ascii="黑体" w:hAnsi="黑体" w:eastAsia="黑体" w:cs="黑体"/>
          <w:color w:val="000000"/>
          <w:highlight w:val="none"/>
        </w:rPr>
      </w:pPr>
      <w:r>
        <w:rPr>
          <w:rFonts w:hint="eastAsia" w:ascii="黑体" w:hAnsi="黑体" w:eastAsia="黑体" w:cs="黑体"/>
          <w:color w:val="000000"/>
          <w:highlight w:val="none"/>
        </w:rPr>
        <w:t>∑[课程考核所得绩点×课程规定学分]</w:t>
      </w:r>
    </w:p>
    <w:p w14:paraId="2CEA26F0">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平均学分绩点=  ————————————————————</w:t>
      </w:r>
    </w:p>
    <w:p w14:paraId="2514183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                           ∑课程规定学分</w:t>
      </w:r>
    </w:p>
    <w:p w14:paraId="618D47F2">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核心课程的平均学分绩点（保留两位小数）是学位授予的重要依据。</w:t>
      </w:r>
    </w:p>
    <w:p w14:paraId="6BC1D36E">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w:t>
      </w:r>
      <w:r>
        <w:rPr>
          <w:rFonts w:hint="eastAsia" w:ascii="黑体" w:hAnsi="黑体" w:eastAsia="黑体" w:cs="黑体"/>
          <w:b/>
          <w:bCs/>
          <w:color w:val="000000"/>
          <w:highlight w:val="none"/>
          <w:lang w:val="en-US" w:eastAsia="zh-CN"/>
        </w:rPr>
        <w:t>学业总评成绩</w:t>
      </w:r>
      <w:r>
        <w:rPr>
          <w:rFonts w:hint="eastAsia" w:ascii="黑体" w:hAnsi="黑体" w:eastAsia="黑体" w:cs="黑体"/>
          <w:color w:val="000000"/>
          <w:highlight w:val="none"/>
          <w:lang w:val="en-US" w:eastAsia="zh-CN"/>
        </w:rPr>
        <w:t>的计算方法</w:t>
      </w:r>
      <w:r>
        <w:rPr>
          <w:rFonts w:hint="eastAsia" w:ascii="黑体" w:hAnsi="黑体" w:eastAsia="黑体" w:cs="黑体"/>
          <w:color w:val="000000"/>
          <w:szCs w:val="21"/>
          <w:highlight w:val="none"/>
          <w:lang w:eastAsia="zh-CN"/>
        </w:rPr>
        <w:t>（保留两位小数）</w:t>
      </w:r>
    </w:p>
    <w:p w14:paraId="015B2AA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szCs w:val="21"/>
          <w:highlight w:val="none"/>
          <w:lang w:eastAsia="zh-CN"/>
        </w:rPr>
        <w:t>对所有核心课程（CC）和非核心必修课程（NC）的初修成绩按课程学分加权计算。计算公式如下：</w:t>
      </w:r>
    </w:p>
    <w:p w14:paraId="0A260F1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color w:val="000000"/>
          <w:highlight w:val="none"/>
          <w:lang w:val="en-US" w:eastAsia="zh-CN"/>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14:paraId="77D99D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szCs w:val="21"/>
          <w:highlight w:val="none"/>
          <w:lang w:eastAsia="zh-CN"/>
        </w:rPr>
        <w:t>（保留两位小数）</w:t>
      </w:r>
      <w:r>
        <w:rPr>
          <w:rFonts w:hint="eastAsia" w:ascii="黑体" w:hAnsi="黑体" w:eastAsia="黑体" w:cs="黑体"/>
          <w:color w:val="000000"/>
          <w:highlight w:val="none"/>
          <w:lang w:val="en-US" w:eastAsia="zh-CN"/>
        </w:rPr>
        <w:t>作为分流、转专业、推荐免试研究生的重要依据。（具体要求以当年执行文件为准）</w:t>
      </w:r>
    </w:p>
    <w:p w14:paraId="11F6500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初修课程成绩和学分绩点为学生参评奖助学金、推荐免试研究生资格的依据。补考、重修课程成绩和学分绩点可作为学生毕业、取得学位、出国访学等的依据，记入学生学籍档案。</w:t>
      </w:r>
    </w:p>
    <w:p w14:paraId="5609FF8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第二十</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rPr>
        <w:t>条 学生因疾病、特殊情况等不可抗力因素不能按时参加期末考试时，可申请缓考，过程考核无缓考。缓考申请须于考试前提出，并附有关证明，经学院审核签字盖章后，教务处批准方可缓考。缓考者可参加下学期开学初补考(最高以70分计)，或参加下一学年低年级同专业的该门课程考试(一般开课学期相同，以实际成绩录入)。</w:t>
      </w:r>
    </w:p>
    <w:p w14:paraId="78E0FF8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rPr>
        <w:t>条 学生每学期初修课程考核不及格，可参加补考一次，补考成绩70分及以下者，如实记载；70分以上者，一律计70分；补考不及格者必须申请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。学生申请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某门课程，须按规定办理</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手续，申请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后按最高实际成绩记入成绩册，详见附则二《南京医科大学全日制本科课程成绩评定与考试管理办法》</w:t>
      </w:r>
    </w:p>
    <w:p w14:paraId="6C5C9D8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第二十三条 凡旷考、考试违纪及考试作弊者，该门课程成绩无效，以零分记，无补考资格，必须申请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该门课程。对旷考者，视其情节，予以批评教育或纪律处分；对考试违纪或考试作弊者，根据附则三《南京医科大学考试违纪与作弊处理办法》分别给予相应处理。</w:t>
      </w:r>
    </w:p>
    <w:p w14:paraId="6FD899B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第二十四条 学生理论、实验、见习或其它实践性课程必须考勤，按规定完成课程学习、接受过程考核并达到相应要求才能取得期末考试资格。</w:t>
      </w:r>
    </w:p>
    <w:p w14:paraId="5AC0700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第二十五条 学生因退学等情况中止学业，其在校学习期间所修课程及已获得学分予以记录。学生重新参加入学考试、符合录取条件，再次入学的，其已获得学分，经学校认定予以承认。</w:t>
      </w:r>
    </w:p>
    <w:p w14:paraId="1BFBFDF5">
      <w:pPr>
        <w:ind w:firstLine="420" w:firstLineChars="200"/>
        <w:rPr>
          <w:rFonts w:hint="eastAsia" w:ascii="黑体" w:hAnsi="黑体" w:eastAsia="黑体" w:cs="黑体"/>
          <w:color w:val="000000"/>
          <w:highlight w:val="none"/>
        </w:rPr>
      </w:pPr>
    </w:p>
    <w:p w14:paraId="21E39BFB">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第四章  课程确定与留降级</w:t>
      </w:r>
    </w:p>
    <w:p w14:paraId="2BCFA15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第二十六条 学生须根据教学计划要求按学年确定必修课程，按学校相关规定自主选择选修课程。</w:t>
      </w:r>
    </w:p>
    <w:p w14:paraId="24C138C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第二十七条 学生在进入下一学年学习之前，必修课程累计有20学分未能取得或累计仍有8门必修课程不及格或因故无成绩(分学期教学的课程，每学期按一门计)者，不得修读下一学年课程。</w:t>
      </w:r>
      <w:r>
        <w:rPr>
          <w:rFonts w:hint="eastAsia" w:ascii="黑体" w:hAnsi="黑体" w:eastAsia="黑体" w:cs="黑体"/>
          <w:color w:val="000000"/>
          <w:highlight w:val="none"/>
          <w:lang w:val="en-US" w:eastAsia="zh-CN"/>
        </w:rPr>
        <w:t>学生</w:t>
      </w:r>
      <w:r>
        <w:rPr>
          <w:rFonts w:hint="eastAsia" w:ascii="黑体" w:hAnsi="黑体" w:eastAsia="黑体" w:cs="黑体"/>
          <w:color w:val="000000"/>
          <w:highlight w:val="none"/>
        </w:rPr>
        <w:t>在进入毕业年级时需留级的（五年制</w:t>
      </w:r>
      <w:r>
        <w:rPr>
          <w:rFonts w:hint="eastAsia" w:ascii="黑体" w:hAnsi="黑体" w:eastAsia="黑体" w:cs="黑体"/>
          <w:color w:val="000000"/>
          <w:highlight w:val="none"/>
          <w:lang w:val="en-US" w:eastAsia="zh-CN"/>
        </w:rPr>
        <w:t>专业学生</w:t>
      </w:r>
      <w:r>
        <w:rPr>
          <w:rFonts w:hint="eastAsia" w:ascii="黑体" w:hAnsi="黑体" w:eastAsia="黑体" w:cs="黑体"/>
          <w:color w:val="000000"/>
          <w:highlight w:val="none"/>
        </w:rPr>
        <w:t>四年级升五年级、四年制</w:t>
      </w:r>
      <w:r>
        <w:rPr>
          <w:rFonts w:hint="eastAsia" w:ascii="黑体" w:hAnsi="黑体" w:eastAsia="黑体" w:cs="黑体"/>
          <w:color w:val="000000"/>
          <w:highlight w:val="none"/>
          <w:lang w:val="en-US" w:eastAsia="zh-CN"/>
        </w:rPr>
        <w:t>专业学生</w:t>
      </w:r>
      <w:r>
        <w:rPr>
          <w:rFonts w:hint="eastAsia" w:ascii="黑体" w:hAnsi="黑体" w:eastAsia="黑体" w:cs="黑体"/>
          <w:color w:val="000000"/>
          <w:highlight w:val="none"/>
        </w:rPr>
        <w:t>三年级升四年级时），允许试读</w:t>
      </w:r>
      <w:r>
        <w:rPr>
          <w:rFonts w:hint="eastAsia" w:ascii="黑体" w:hAnsi="黑体" w:eastAsia="黑体" w:cs="黑体"/>
          <w:color w:val="000000"/>
          <w:highlight w:val="none"/>
          <w:lang w:val="en-US" w:eastAsia="zh-CN"/>
        </w:rPr>
        <w:t>一次</w:t>
      </w:r>
      <w:r>
        <w:rPr>
          <w:rFonts w:hint="eastAsia" w:ascii="黑体" w:hAnsi="黑体" w:eastAsia="黑体" w:cs="黑体"/>
          <w:color w:val="000000"/>
          <w:highlight w:val="none"/>
        </w:rPr>
        <w:t>，签署试读协议，一学年之内未达到毕业条件的按结业处理</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不得延期毕业</w:t>
      </w:r>
      <w:r>
        <w:rPr>
          <w:rFonts w:hint="eastAsia" w:ascii="黑体" w:hAnsi="黑体" w:eastAsia="黑体" w:cs="黑体"/>
          <w:color w:val="000000"/>
          <w:highlight w:val="none"/>
        </w:rPr>
        <w:t>。非毕业班学生需留级的，且在最长学习年限内无法完成学业的</w:t>
      </w:r>
      <w:r>
        <w:rPr>
          <w:rFonts w:hint="eastAsia" w:ascii="黑体" w:hAnsi="黑体" w:eastAsia="黑体" w:cs="黑体"/>
          <w:color w:val="000000"/>
          <w:highlight w:val="none"/>
        </w:rPr>
        <w:t>，允许试读</w:t>
      </w:r>
      <w:r>
        <w:rPr>
          <w:rFonts w:hint="eastAsia" w:ascii="黑体" w:hAnsi="黑体" w:eastAsia="黑体" w:cs="黑体"/>
          <w:color w:val="000000"/>
          <w:highlight w:val="none"/>
          <w:lang w:val="en-US" w:eastAsia="zh-CN"/>
        </w:rPr>
        <w:t>一次</w:t>
      </w:r>
      <w:r>
        <w:rPr>
          <w:rFonts w:hint="eastAsia" w:ascii="黑体" w:hAnsi="黑体" w:eastAsia="黑体" w:cs="黑体"/>
          <w:color w:val="000000"/>
          <w:highlight w:val="none"/>
        </w:rPr>
        <w:t>，签署试读协议，试读期间</w:t>
      </w:r>
      <w:r>
        <w:rPr>
          <w:rFonts w:hint="eastAsia" w:ascii="黑体" w:hAnsi="黑体" w:eastAsia="黑体" w:cs="黑体"/>
          <w:color w:val="000000"/>
          <w:highlight w:val="none"/>
          <w:lang w:val="en-US" w:eastAsia="zh-CN"/>
        </w:rPr>
        <w:t>若出现</w:t>
      </w:r>
      <w:r>
        <w:rPr>
          <w:rFonts w:hint="eastAsia" w:ascii="黑体" w:hAnsi="黑体" w:eastAsia="黑体" w:cs="黑体"/>
          <w:color w:val="000000"/>
          <w:highlight w:val="none"/>
        </w:rPr>
        <w:t>一门正考课程</w:t>
      </w:r>
      <w:r>
        <w:rPr>
          <w:rFonts w:hint="eastAsia" w:ascii="黑体" w:hAnsi="黑体" w:eastAsia="黑体" w:cs="黑体"/>
          <w:color w:val="000000"/>
          <w:highlight w:val="none"/>
          <w:lang w:val="en-US" w:eastAsia="zh-CN"/>
        </w:rPr>
        <w:t>未通过</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或</w:t>
      </w:r>
      <w:r>
        <w:rPr>
          <w:rFonts w:hint="eastAsia" w:ascii="黑体" w:hAnsi="黑体" w:eastAsia="黑体" w:cs="黑体"/>
          <w:color w:val="000000"/>
          <w:highlight w:val="none"/>
        </w:rPr>
        <w:t>试读学年结束后</w:t>
      </w:r>
      <w:r>
        <w:rPr>
          <w:rFonts w:hint="eastAsia" w:ascii="黑体" w:hAnsi="黑体" w:eastAsia="黑体" w:cs="黑体"/>
          <w:color w:val="000000"/>
          <w:highlight w:val="none"/>
          <w:lang w:val="en-US" w:eastAsia="zh-CN"/>
        </w:rPr>
        <w:t>达到</w:t>
      </w:r>
      <w:r>
        <w:rPr>
          <w:rFonts w:hint="eastAsia" w:ascii="黑体" w:hAnsi="黑体" w:eastAsia="黑体" w:cs="黑体"/>
          <w:color w:val="000000"/>
          <w:highlight w:val="none"/>
        </w:rPr>
        <w:t>留级条件</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按肄业处理，需办理退学手续。</w:t>
      </w:r>
      <w:r>
        <w:rPr>
          <w:rFonts w:hint="eastAsia" w:ascii="黑体" w:hAnsi="黑体" w:eastAsia="黑体" w:cs="黑体"/>
          <w:color w:val="000000"/>
          <w:highlight w:val="none"/>
          <w:lang w:val="en-US" w:eastAsia="zh-CN"/>
        </w:rPr>
        <w:t>每个学生只有一次试读机会。</w:t>
      </w:r>
    </w:p>
    <w:p w14:paraId="6733AFA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w:t>
      </w:r>
      <w:r>
        <w:rPr>
          <w:rFonts w:hint="eastAsia" w:ascii="黑体" w:hAnsi="黑体" w:eastAsia="黑体" w:cs="黑体"/>
          <w:color w:val="000000"/>
          <w:highlight w:val="none"/>
          <w:lang w:val="en-US" w:eastAsia="zh-CN"/>
        </w:rPr>
        <w:t>八</w:t>
      </w:r>
      <w:r>
        <w:rPr>
          <w:rFonts w:hint="eastAsia" w:ascii="黑体" w:hAnsi="黑体" w:eastAsia="黑体" w:cs="黑体"/>
          <w:color w:val="000000"/>
          <w:highlight w:val="none"/>
        </w:rPr>
        <w:t>条 根据我校相应专业培养方案规定，实行阶段性学习状况测评；未通过测评的学生不得进入后续阶段学习。</w:t>
      </w:r>
    </w:p>
    <w:p w14:paraId="6B96713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第二十九条 本规定自2023级学生执行，其余年级学生于2024-2025学年开始执行，留级学生按留级后所在年级的相关规定执行，解释权在教务处</w:t>
      </w:r>
      <w:r>
        <w:rPr>
          <w:rFonts w:hint="eastAsia" w:ascii="黑体" w:hAnsi="黑体" w:eastAsia="黑体" w:cs="黑体"/>
          <w:color w:val="000000"/>
          <w:highlight w:val="none"/>
        </w:rPr>
        <w:t>。</w:t>
      </w:r>
    </w:p>
    <w:p w14:paraId="6AC1571D">
      <w:pPr>
        <w:jc w:val="center"/>
        <w:rPr>
          <w:rFonts w:hint="eastAsia" w:ascii="黑体" w:hAnsi="黑体" w:eastAsia="黑体" w:cs="黑体"/>
          <w:color w:val="000000"/>
          <w:highlight w:val="none"/>
        </w:rPr>
      </w:pPr>
    </w:p>
    <w:p w14:paraId="6941DF11">
      <w:pPr>
        <w:jc w:val="center"/>
        <w:rPr>
          <w:rFonts w:hint="eastAsia" w:ascii="黑体" w:hAnsi="黑体" w:eastAsia="黑体" w:cs="黑体"/>
          <w:color w:val="000000"/>
          <w:highlight w:val="none"/>
        </w:rPr>
      </w:pPr>
      <w:r>
        <w:rPr>
          <w:rFonts w:hint="eastAsia" w:ascii="黑体" w:hAnsi="黑体" w:eastAsia="黑体" w:cs="黑体"/>
          <w:color w:val="000000"/>
          <w:highlight w:val="none"/>
        </w:rPr>
        <w:t>第五章  辅修</w:t>
      </w:r>
    </w:p>
    <w:p w14:paraId="003319E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第三十条 学生根据学校有关规定，可以申请辅修校内其他专业或者选修其他专业课程；经学校同意，可以申请跨校辅修专业或者修读课程，参加学校认可的开放式网络课程学习。</w:t>
      </w:r>
    </w:p>
    <w:p w14:paraId="152DE55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第三十一条 学生申请辅修的课程考试合格，经教务处审核后，发给辅修课程成绩证明。</w:t>
      </w:r>
    </w:p>
    <w:p w14:paraId="192A8F5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第三十二条 全校所有专业均可辅修，但不能同时辅修两个专业；有特殊限制的专业除外。</w:t>
      </w:r>
    </w:p>
    <w:p w14:paraId="7A7B042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第三十三条 学生第一学年学习成绩优秀，核心课程平均学分绩点达到2.5</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以上，可申请辅修第二专业。学生提出辅修申请，经辅修专业所属学院审核同意，教务处审批。</w:t>
      </w:r>
    </w:p>
    <w:p w14:paraId="001F74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第三十四条 准予辅修第二专业的学生，按辅修专业教学计划规定的课程选课学习。第一专业已取得学分的同级相同课程可予免修，已取得的学分有效。低级别的相同课程必须通过</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获得相应学分。在规定的时间内(不超过本专业最长学习年限)修满第二专业所规定的学分者，发给辅修证书和辅修课程成绩证明。</w:t>
      </w:r>
    </w:p>
    <w:p w14:paraId="30635CB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第三十五条 在修读辅修专业期间，主修专业必修课程有两门或辅修课程有两门不及格，即暂停该生的辅修资格，待合格后可申请恢复辅修资格。</w:t>
      </w:r>
    </w:p>
    <w:p w14:paraId="12B1AD9D">
      <w:pPr>
        <w:widowControl/>
        <w:ind w:firstLine="420" w:firstLineChars="200"/>
        <w:rPr>
          <w:rFonts w:hint="eastAsia" w:ascii="黑体" w:hAnsi="黑体" w:eastAsia="黑体" w:cs="黑体"/>
          <w:color w:val="000000"/>
          <w:highlight w:val="none"/>
        </w:rPr>
      </w:pPr>
    </w:p>
    <w:p w14:paraId="7B173450">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第六章  转专业与转学</w:t>
      </w:r>
    </w:p>
    <w:p w14:paraId="07BA2FA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第三十六条 学生在学习期间</w:t>
      </w:r>
      <w:r>
        <w:rPr>
          <w:rFonts w:hint="eastAsia" w:ascii="黑体" w:hAnsi="黑体" w:eastAsia="黑体" w:cs="黑体"/>
          <w:color w:val="000000"/>
          <w:highlight w:val="none"/>
          <w:lang w:val="en-US" w:eastAsia="zh-CN"/>
        </w:rPr>
        <w:t>按照学校转专业相关规定</w:t>
      </w:r>
      <w:r>
        <w:rPr>
          <w:rFonts w:hint="eastAsia" w:ascii="黑体" w:hAnsi="黑体" w:eastAsia="黑体" w:cs="黑体"/>
          <w:color w:val="000000"/>
          <w:highlight w:val="none"/>
        </w:rPr>
        <w:t>，可以申请转专业；以特殊招生形式录取的学生，国家有相关规定或者录取前与学校有明确约定的，不得转专业。具体详见学校转专业实施细则。</w:t>
      </w:r>
    </w:p>
    <w:p w14:paraId="325FECF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第三十七条 学校可根据社会对人才需求情况的发展变化，适当调整学生所学专业。</w:t>
      </w:r>
    </w:p>
    <w:p w14:paraId="685EFDB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第三十八条 学生一般应当在被录取学校完成学业。因患病或者有特殊困难、特别需要，无法继续在本校学习或者不适应本校学习要求的，可以申请转学。有下列情形之一，不得转学：</w:t>
      </w:r>
    </w:p>
    <w:p w14:paraId="0FFCF18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入学未满一学期或者毕业前一年的；</w:t>
      </w:r>
    </w:p>
    <w:p w14:paraId="40EED59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高考成绩低于拟转入学校相关专业同一生源地相应年份录取成绩的；</w:t>
      </w:r>
    </w:p>
    <w:p w14:paraId="4529318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由低学历层次转为高学历层次的；</w:t>
      </w:r>
    </w:p>
    <w:p w14:paraId="37A3D81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以定向就业招生录取的；</w:t>
      </w:r>
    </w:p>
    <w:p w14:paraId="50D1C8A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无正当转学理由的。</w:t>
      </w:r>
    </w:p>
    <w:p w14:paraId="6A567C9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学生因学校培养条件改变等非本人原因需要转学的，由学校出具证明，经所在地省级教育行政部门协调转学到同层次学校。</w:t>
      </w:r>
    </w:p>
    <w:p w14:paraId="678D30A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第三十九条 学生转学由学生本人提出申请，说明理由，经所在学校和拟转入学校同意，由转入学校负责审核转学条件及相关证明，认为符合本校培养要求且学校有培养能力的，经学校校长办公会或者专题会议研究决定，可以转入。</w:t>
      </w:r>
    </w:p>
    <w:p w14:paraId="0189975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跨省转学的，由转出地省级教育行政部门商转入地省级教育行政部门，按转学条件确认后办理转学手续。须转户口的由转入地省级教育行政部门将有关文件抄送转入学校所在地的公安机关。</w:t>
      </w:r>
    </w:p>
    <w:p w14:paraId="18ED2B3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第四十条 </w:t>
      </w:r>
      <w:r>
        <w:rPr>
          <w:rFonts w:hint="eastAsia" w:ascii="黑体" w:hAnsi="黑体" w:eastAsia="黑体" w:cs="黑体"/>
          <w:color w:val="000000"/>
          <w:spacing w:val="4"/>
          <w:highlight w:val="none"/>
        </w:rPr>
        <w:t>学校按照国家有关规定，对转学情况及时进行公示，并在转学完成后3个月内，由转入学校报所在地省级教育行政部门备案。</w:t>
      </w:r>
    </w:p>
    <w:p w14:paraId="0F8C5310">
      <w:pPr>
        <w:jc w:val="center"/>
        <w:rPr>
          <w:rFonts w:hint="eastAsia" w:ascii="黑体" w:hAnsi="黑体" w:eastAsia="黑体" w:cs="黑体"/>
          <w:color w:val="000000"/>
          <w:highlight w:val="none"/>
        </w:rPr>
      </w:pPr>
    </w:p>
    <w:p w14:paraId="1B3D3C94">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第七章  请假、休学与复学</w:t>
      </w:r>
    </w:p>
    <w:p w14:paraId="4005AA8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第四十一条 学生要按时参加教学计划规定和学校统一安排的教学活动，不得无故缺课。学生学习期间一般不准请事假，遇有特殊情况非由学生本人处理不可的，必须事先履行请假手续；病假必须有指定就诊医院证明。请事假、病假两周以内者，由学院审核批准；两周以上须经教务处审核批准。</w:t>
      </w:r>
    </w:p>
    <w:p w14:paraId="029F6E0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第四十二条 学生未经请假或虽经请假未获准假而不到校上课者，视为旷课。学生旷课，学校有关管理部门应给予批评教育，视情节按《南京医科大学本科生学生违纪处分条例》给予相应处分。</w:t>
      </w:r>
    </w:p>
    <w:p w14:paraId="7EAE54C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第四十三条 学生可以分阶段完成学业，必须在学校规定的最长学习年限(含休学和保留学籍)内完成学业。</w:t>
      </w:r>
    </w:p>
    <w:p w14:paraId="7D6DAB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第四十四条 学生有下列情况之一者，应予休学：</w:t>
      </w:r>
    </w:p>
    <w:p w14:paraId="15E6B230">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1</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因病经指定二级甲等以上医院或本校门诊部诊断，一学期必须治疗休养超过6周者，应予休学</w:t>
      </w:r>
      <w:r>
        <w:rPr>
          <w:rFonts w:hint="eastAsia" w:ascii="黑体" w:hAnsi="黑体" w:eastAsia="黑体" w:cs="黑体"/>
          <w:color w:val="000000"/>
          <w:highlight w:val="none"/>
          <w:lang w:eastAsia="zh-CN"/>
        </w:rPr>
        <w:t>；</w:t>
      </w:r>
    </w:p>
    <w:p w14:paraId="269C914B">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2</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一学期请假累计超过6周者，应予休学</w:t>
      </w:r>
      <w:r>
        <w:rPr>
          <w:rFonts w:hint="eastAsia" w:ascii="黑体" w:hAnsi="黑体" w:eastAsia="黑体" w:cs="黑体"/>
          <w:color w:val="000000"/>
          <w:highlight w:val="none"/>
          <w:lang w:eastAsia="zh-CN"/>
        </w:rPr>
        <w:t>；</w:t>
      </w:r>
    </w:p>
    <w:p w14:paraId="5638DDC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3</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因特殊情况经本人申请或学校认为必须休学者。</w:t>
      </w:r>
    </w:p>
    <w:p w14:paraId="78B75AD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第四十五条 学生休学或保留学籍，应由学生本人提出申请，经所在学院审核，报教务处审批；学生休学或保留学籍期满不办理复学等手续者，取消学籍。</w:t>
      </w:r>
    </w:p>
    <w:p w14:paraId="5BC5D8A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第四十六条 学生申请休学或保留学籍每次以1年为限。</w:t>
      </w:r>
    </w:p>
    <w:p w14:paraId="0E37B90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第四十七条</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学生应征参加中国人民解放军(含中国人民武装警察部队)，学校保留其学籍至退役后2年。</w:t>
      </w:r>
    </w:p>
    <w:p w14:paraId="1ED9DCE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第四十八条 学生复学按下列规定办理：</w:t>
      </w:r>
    </w:p>
    <w:p w14:paraId="23F7928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1.因病休学的学生，申请复学时必须持有二级甲等以上医院诊断证明，经校门诊部复查合格，教务处核准，方可复学。</w:t>
      </w:r>
    </w:p>
    <w:p w14:paraId="342F228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2.学生休学或保留学籍期满后，应于学期开学前持有关证件，向教务处申请复学，经批准同意后进入相应年级学习。</w:t>
      </w:r>
    </w:p>
    <w:p w14:paraId="586C294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3.学生休学或保留学籍期间，如有严重违法乱纪行为者，取消复学资格。</w:t>
      </w:r>
    </w:p>
    <w:p w14:paraId="71ABDB0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第四十九条 休学学生应当办理</w:t>
      </w:r>
      <w:r>
        <w:rPr>
          <w:rFonts w:hint="eastAsia" w:ascii="黑体" w:hAnsi="黑体" w:eastAsia="黑体" w:cs="黑体"/>
          <w:color w:val="000000"/>
          <w:highlight w:val="none"/>
          <w:lang w:val="en-US" w:eastAsia="zh-Hans"/>
        </w:rPr>
        <w:t>离校手续</w:t>
      </w:r>
      <w:r>
        <w:rPr>
          <w:rFonts w:hint="eastAsia" w:ascii="黑体" w:hAnsi="黑体" w:eastAsia="黑体" w:cs="黑体"/>
          <w:color w:val="000000"/>
          <w:highlight w:val="none"/>
        </w:rPr>
        <w:t>。休学或保留学籍的学生不享受在校学习学生待遇。因病休学学生的医疗费按国家及学校的有关规定处理。</w:t>
      </w:r>
    </w:p>
    <w:p w14:paraId="4571B9D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第五十条 学生参加学校组织的跨校联合培养、出国交流学习等项目，在外学习期间，学校为其保留学籍，学生需提前办理学籍异动手续，教务处核准备案。</w:t>
      </w:r>
    </w:p>
    <w:p w14:paraId="2C96008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第五十一条 休学学生的其他有关问题按我校相应规定办理。</w:t>
      </w:r>
    </w:p>
    <w:p w14:paraId="082346D9">
      <w:pPr>
        <w:ind w:firstLine="420" w:firstLineChars="200"/>
        <w:rPr>
          <w:rFonts w:hint="eastAsia" w:ascii="黑体" w:hAnsi="黑体" w:eastAsia="黑体" w:cs="黑体"/>
          <w:color w:val="000000"/>
          <w:highlight w:val="none"/>
        </w:rPr>
      </w:pPr>
    </w:p>
    <w:p w14:paraId="74F675CC">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第八章  退学</w:t>
      </w:r>
    </w:p>
    <w:p w14:paraId="34E2822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第五十二条 学生有下列情形之一，学校可予退学处理：</w:t>
      </w:r>
    </w:p>
    <w:p w14:paraId="63427A46">
      <w:pPr>
        <w:tabs>
          <w:tab w:val="left" w:pos="567"/>
          <w:tab w:val="left" w:pos="851"/>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1</w:t>
      </w:r>
      <w:r>
        <w:rPr>
          <w:rFonts w:hint="eastAsia" w:ascii="黑体" w:hAnsi="黑体" w:eastAsia="黑体" w:cs="黑体"/>
          <w:color w:val="000000"/>
          <w:highlight w:val="none"/>
          <w:lang w:val="en-US" w:eastAsia="zh-CN"/>
        </w:rPr>
        <w:t>.因学业成绩连续留级（第2次达到留级条件，可跟班试读，并签试读协议，每个学生只有一次试读机会。试读期间正考课程出现1门未通过或试读学年结束后达到留级/延毕条件的，按肄业/结业处理，办理相应手续。）或连续延期毕业的；</w:t>
      </w:r>
      <w:r>
        <w:rPr>
          <w:rFonts w:hint="eastAsia" w:ascii="黑体" w:hAnsi="黑体" w:eastAsia="黑体" w:cs="黑体"/>
          <w:color w:val="000000"/>
          <w:highlight w:val="none"/>
        </w:rPr>
        <w:t>学业成绩未达到学校要求或在学校规定的学习年限内</w:t>
      </w:r>
      <w:r>
        <w:rPr>
          <w:rFonts w:hint="eastAsia" w:ascii="黑体" w:hAnsi="黑体" w:eastAsia="黑体" w:cs="黑体"/>
          <w:color w:val="000000"/>
          <w:highlight w:val="none"/>
          <w:lang w:val="en-US" w:eastAsia="zh-CN"/>
        </w:rPr>
        <w:t>无法</w:t>
      </w:r>
      <w:r>
        <w:rPr>
          <w:rFonts w:hint="eastAsia" w:ascii="黑体" w:hAnsi="黑体" w:eastAsia="黑体" w:cs="黑体"/>
          <w:color w:val="000000"/>
          <w:highlight w:val="none"/>
        </w:rPr>
        <w:t>完成学业的</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本规定自2022级学生执行，其余高年级学生在2年过渡期后（即2024-2025学年）开始执行，留级学生按留级后所在年级的相关规定执行，解释权在教务处。</w:t>
      </w:r>
    </w:p>
    <w:p w14:paraId="6294F126">
      <w:pPr>
        <w:tabs>
          <w:tab w:val="left" w:pos="567"/>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2</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休学、保留学籍期满，在学校规定期限内未提出复学申请或者申请复学经复查不合格的；</w:t>
      </w:r>
    </w:p>
    <w:p w14:paraId="29AA3923">
      <w:pPr>
        <w:tabs>
          <w:tab w:val="left" w:pos="567"/>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3</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根据学校指定医院诊断，患有疾病或者意外伤残不能继续在校学习的；</w:t>
      </w:r>
    </w:p>
    <w:p w14:paraId="2FF578C9">
      <w:pPr>
        <w:tabs>
          <w:tab w:val="left" w:pos="567"/>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4</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未经批准连续两周未参加学校规定的教学活动或一学期累计旷课达60学时的；</w:t>
      </w:r>
    </w:p>
    <w:p w14:paraId="37D5640F">
      <w:pPr>
        <w:tabs>
          <w:tab w:val="left" w:pos="567"/>
        </w:tabs>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5</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超过学校规定期限未注册而又未履行暂缓注册手续的；</w:t>
      </w:r>
    </w:p>
    <w:p w14:paraId="39621FB0">
      <w:pPr>
        <w:tabs>
          <w:tab w:val="left" w:pos="567"/>
        </w:tabs>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6</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学校规定的不能完成学业、应予退学的其他情形</w:t>
      </w:r>
      <w:r>
        <w:rPr>
          <w:rFonts w:hint="eastAsia" w:ascii="黑体" w:hAnsi="黑体" w:eastAsia="黑体" w:cs="黑体"/>
          <w:color w:val="000000"/>
          <w:highlight w:val="none"/>
          <w:lang w:eastAsia="zh-CN"/>
        </w:rPr>
        <w:t>；</w:t>
      </w:r>
    </w:p>
    <w:p w14:paraId="4EB8D4E2">
      <w:pPr>
        <w:tabs>
          <w:tab w:val="left" w:pos="567"/>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7</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rPr>
        <w:t>学生本人申请退学的。</w:t>
      </w:r>
    </w:p>
    <w:p w14:paraId="40F4A46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第五十三条 学生退学须提交退学申请，经学院提出意见，教务处审核，由校长会议研究决定。对退学的学生，学校出具退学决定书，同时报省教育厅备案。</w:t>
      </w:r>
    </w:p>
    <w:p w14:paraId="6B5BE77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第五十四条 经批准退学的学生，应在一周内办理离校手续。</w:t>
      </w:r>
    </w:p>
    <w:p w14:paraId="4E47104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第五十五条 退学学生给予写实性学习证明，学习满一年以上，可发给肄业证书。未经学校批准，擅自离校或逾期不办退学手续的学生，不发给退学证明和肄业证书，并注销其学籍。</w:t>
      </w:r>
    </w:p>
    <w:p w14:paraId="1682194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第五十六条 </w:t>
      </w:r>
      <w:r>
        <w:rPr>
          <w:rFonts w:hint="eastAsia" w:ascii="黑体" w:hAnsi="黑体" w:eastAsia="黑体" w:cs="黑体"/>
          <w:color w:val="000000"/>
          <w:spacing w:val="6"/>
          <w:highlight w:val="none"/>
        </w:rPr>
        <w:t>学生对退学处理有异议的，可以提出申诉和申请复查。</w:t>
      </w:r>
    </w:p>
    <w:p w14:paraId="5E36B90E">
      <w:pPr>
        <w:ind w:firstLine="420" w:firstLineChars="200"/>
        <w:rPr>
          <w:rFonts w:hint="eastAsia" w:ascii="黑体" w:hAnsi="黑体" w:eastAsia="黑体" w:cs="黑体"/>
          <w:color w:val="000000"/>
          <w:highlight w:val="none"/>
        </w:rPr>
      </w:pPr>
    </w:p>
    <w:p w14:paraId="19C60193">
      <w:pPr>
        <w:jc w:val="center"/>
        <w:rPr>
          <w:rFonts w:hint="eastAsia" w:ascii="黑体" w:hAnsi="黑体" w:eastAsia="黑体" w:cs="黑体"/>
          <w:color w:val="000000"/>
          <w:highlight w:val="none"/>
        </w:rPr>
      </w:pPr>
      <w:r>
        <w:rPr>
          <w:rFonts w:hint="eastAsia" w:ascii="黑体" w:hAnsi="黑体" w:eastAsia="黑体" w:cs="黑体"/>
          <w:color w:val="000000"/>
          <w:highlight w:val="none"/>
        </w:rPr>
        <w:t>第九章  奖励与处分</w:t>
      </w:r>
    </w:p>
    <w:p w14:paraId="1384637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第五十七条 学校对在德、智、体、美等方面全面发展或者在思想品德、学业成绩、科技创造、体育竞赛、文艺活动、志愿服务及社会实践等方面表现突出的学生，给予表彰和奖励。奖励以精神奖励与物质奖励相结合的方式进行。</w:t>
      </w:r>
    </w:p>
    <w:p w14:paraId="00BD613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第五十八条 对有违反法律法规、本规定以及学校纪律行为的学生，学校视情节轻重，给予批评教育或下列纪律处分：</w:t>
      </w:r>
    </w:p>
    <w:p w14:paraId="6FE0285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警告；</w:t>
      </w:r>
    </w:p>
    <w:p w14:paraId="6359102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严重警告；</w:t>
      </w:r>
    </w:p>
    <w:p w14:paraId="4EBCD63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记过；</w:t>
      </w:r>
    </w:p>
    <w:p w14:paraId="602A226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留校察看；</w:t>
      </w:r>
    </w:p>
    <w:p w14:paraId="3914B7C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开除学籍。</w:t>
      </w:r>
    </w:p>
    <w:p w14:paraId="10CDCEF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第五十九条 警告、严重警告、记过、留校察看一般设置6到12个月处分期限。在处分期间内，有突出表现者，可提前解除处分；经教育不改者可视情节轻重给予延长。毕业班学生在毕业时仍处于留校察看处分期内的，作结业处理，在处分期满后，经本人申请，相关部门证明确已改正错误，可予换发毕业证书。开除学籍的学生，发给学习证明。</w:t>
      </w:r>
      <w:r>
        <w:rPr>
          <w:rFonts w:hint="eastAsia" w:ascii="黑体" w:hAnsi="黑体" w:eastAsia="黑体" w:cs="黑体"/>
          <w:iCs/>
          <w:color w:val="000000"/>
          <w:highlight w:val="none"/>
        </w:rPr>
        <w:t>学生处分期满，未作出延后解除决定的，视为自动解除。</w:t>
      </w:r>
    </w:p>
    <w:p w14:paraId="0A42062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第六十条 对学生的处分，应根据《南京医科大学学生违纪处分条例》执行，做到程序正确、证据充足、依据明确、定性准确、处分恰当；学生的奖励、处理、处分等材料将真实完整地归入学校文书档案和本人档案。对学生作出处分决定之前，应当听取学生或其代理人的陈述和申辩，允许有异议的学生提出申诉和申请复查。处分决定书直接送达学生本人，不能直接送达的以留置、邮寄或公告方式送达。</w:t>
      </w:r>
    </w:p>
    <w:p w14:paraId="6278230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第六十一条 凡涉及学生学籍的处分必须报教务处备案。凡对扰乱教学秩序学生的处分，须报教务处统一处理。</w:t>
      </w:r>
    </w:p>
    <w:p w14:paraId="71E3A284">
      <w:pPr>
        <w:ind w:firstLine="420" w:firstLineChars="200"/>
        <w:rPr>
          <w:rFonts w:hint="eastAsia" w:ascii="黑体" w:hAnsi="黑体" w:eastAsia="黑体" w:cs="黑体"/>
          <w:color w:val="000000"/>
          <w:highlight w:val="none"/>
        </w:rPr>
      </w:pPr>
    </w:p>
    <w:p w14:paraId="1588AEBE">
      <w:pPr>
        <w:jc w:val="center"/>
        <w:rPr>
          <w:rFonts w:hint="eastAsia" w:ascii="黑体" w:hAnsi="黑体" w:eastAsia="黑体" w:cs="黑体"/>
          <w:color w:val="000000"/>
          <w:highlight w:val="none"/>
        </w:rPr>
      </w:pPr>
      <w:r>
        <w:rPr>
          <w:rFonts w:hint="eastAsia" w:ascii="黑体" w:hAnsi="黑体" w:eastAsia="黑体" w:cs="黑体"/>
          <w:color w:val="000000"/>
          <w:highlight w:val="none"/>
        </w:rPr>
        <w:t>第十章  毕业与结业</w:t>
      </w:r>
    </w:p>
    <w:p w14:paraId="12D507B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第六十二条 学生在学校规定学习年限内，修完教育教学计划规定内容，成绩合格，达到学校毕业要求的，准予毕业，并在学生离校前发给毕业证书。对符合《中华人民共和国学位条例》及我校学位授予条件的，学校颁发相应学位证书。学生提前完成教育教学计划规定内容，获得毕业所要求的学分，可以申请提前毕业。</w:t>
      </w:r>
    </w:p>
    <w:p w14:paraId="1117790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第六十三条 </w:t>
      </w: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rPr>
        <w:t>年制本科专业最长学习年限为</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年，</w:t>
      </w:r>
      <w:r>
        <w:rPr>
          <w:rFonts w:hint="eastAsia" w:ascii="黑体" w:hAnsi="黑体" w:eastAsia="黑体" w:cs="黑体"/>
          <w:color w:val="000000"/>
          <w:highlight w:val="none"/>
          <w:lang w:val="en-US" w:eastAsia="zh-CN"/>
        </w:rPr>
        <w:t>五</w:t>
      </w:r>
      <w:r>
        <w:rPr>
          <w:rFonts w:hint="eastAsia" w:ascii="黑体" w:hAnsi="黑体" w:eastAsia="黑体" w:cs="黑体"/>
          <w:color w:val="000000"/>
          <w:highlight w:val="none"/>
        </w:rPr>
        <w:t>年制本科专业最长学习年限为</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年，5+3一体化专业本科段最长学习年限为</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年</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3+2联合培养专业本科段最长学习年限为3年。应征入伍学生服役期不计入最长学习年限内。最长学习年限以</w:t>
      </w:r>
      <w:r>
        <w:rPr>
          <w:rFonts w:hint="eastAsia" w:ascii="黑体" w:hAnsi="黑体" w:eastAsia="黑体" w:cs="黑体"/>
          <w:color w:val="000000"/>
          <w:highlight w:val="none"/>
          <w:lang w:val="en-US" w:eastAsia="zh-CN"/>
        </w:rPr>
        <w:t>学生</w:t>
      </w:r>
      <w:r>
        <w:rPr>
          <w:rFonts w:hint="eastAsia" w:ascii="黑体" w:hAnsi="黑体" w:eastAsia="黑体" w:cs="黑体"/>
          <w:color w:val="000000"/>
          <w:highlight w:val="none"/>
        </w:rPr>
        <w:t>入学当年学籍管理规定为准。</w:t>
      </w:r>
    </w:p>
    <w:p w14:paraId="55587AE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第六十四条 学生在校学习时间已达到基本学制、并已修读完所有课程，但仍有部分必修课学分或规定的选修课学分未获得，或毕业论文、毕业考核不合格，则可以根据个人意愿，按下列办法办理：</w:t>
      </w:r>
    </w:p>
    <w:p w14:paraId="38F132FE">
      <w:pPr>
        <w:tabs>
          <w:tab w:val="left" w:pos="540"/>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在规定的最长学习年限内申请延期毕业</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毕业班学生已签署试读协议的不可以申请延期毕业</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，在校继续学习，服从学校管理，缴纳学分学费。通过相应的考核，取得规定的学分后，予以毕业。对条件符合《中华人民共和国学位条例》及我校具体有关规定的毕业生，授予相应学位。</w:t>
      </w:r>
    </w:p>
    <w:p w14:paraId="4762DAD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申请结业，学校颁发结业证书，学生须办理离校手续。其不及格课程在结业后2年内(在最长学习年限内)向学校申请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，经考核合格后换发毕业证书，毕业时间从换证时算起。对条件符合《中华人民共和国学位条例》及我校具体有关规定的毕业生，授予相应学位。如逾期不申请者，以后不予补办。</w:t>
      </w:r>
    </w:p>
    <w:p w14:paraId="7A076C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第六十五条 公共体育课不及格者，不得毕业，发给结业证书；因身体特殊原因经批准除外。</w:t>
      </w:r>
    </w:p>
    <w:p w14:paraId="47EB1A66">
      <w:pPr>
        <w:tabs>
          <w:tab w:val="left" w:pos="126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第六十六条 学生未能毕业或结业，但学习满1年以上，可发给肄业证书。</w:t>
      </w:r>
    </w:p>
    <w:p w14:paraId="5F8E461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rPr>
        <w:t xml:space="preserve">章  </w:t>
      </w:r>
      <w:r>
        <w:rPr>
          <w:rFonts w:hint="eastAsia" w:ascii="黑体" w:hAnsi="黑体" w:eastAsia="黑体" w:cs="黑体"/>
          <w:color w:val="000000"/>
          <w:highlight w:val="none"/>
          <w:lang w:val="en-US" w:eastAsia="zh-CN"/>
        </w:rPr>
        <w:t>长学制本科阶段分流机制</w:t>
      </w:r>
    </w:p>
    <w:p w14:paraId="366A174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第六十七条 5+3一体化专业学生如因学习兴趣或学习能力等原因，可经个人申请、学院审查，教务处批准，转至相应专业学习。本人自愿放弃研究生阶段学习，且已完成全部必修课和规定选修课程学习，获得足够学分，同时完成通科实习，经本人申请，学院审查、教务处批准，按</w:t>
      </w:r>
      <w:r>
        <w:rPr>
          <w:rFonts w:hint="eastAsia" w:ascii="黑体" w:hAnsi="黑体" w:eastAsia="黑体" w:cs="黑体"/>
          <w:color w:val="000000"/>
          <w:highlight w:val="none"/>
          <w:lang w:eastAsia="zh-CN"/>
        </w:rPr>
        <w:t>五年制本科</w:t>
      </w:r>
      <w:r>
        <w:rPr>
          <w:rFonts w:hint="eastAsia" w:ascii="黑体" w:hAnsi="黑体" w:eastAsia="黑体" w:cs="黑体"/>
          <w:color w:val="000000"/>
          <w:highlight w:val="none"/>
        </w:rPr>
        <w:t>毕业。5+3一体化专业学生达到留级条件即自动转出5+3培养体系，转入</w:t>
      </w:r>
      <w:r>
        <w:rPr>
          <w:rFonts w:hint="eastAsia" w:ascii="黑体" w:hAnsi="黑体" w:eastAsia="黑体" w:cs="黑体"/>
          <w:color w:val="000000"/>
          <w:highlight w:val="none"/>
          <w:lang w:eastAsia="zh-CN"/>
        </w:rPr>
        <w:t>五年制</w:t>
      </w:r>
      <w:r>
        <w:rPr>
          <w:rFonts w:hint="eastAsia" w:ascii="黑体" w:hAnsi="黑体" w:eastAsia="黑体" w:cs="黑体"/>
          <w:color w:val="000000"/>
          <w:highlight w:val="none"/>
        </w:rPr>
        <w:t>相应专业；四年级升五年级时，仍有课程不合格</w:t>
      </w:r>
      <w:r>
        <w:rPr>
          <w:rFonts w:hint="eastAsia" w:ascii="黑体" w:hAnsi="黑体" w:eastAsia="黑体" w:cs="黑体"/>
          <w:color w:val="000000"/>
          <w:highlight w:val="none"/>
          <w:lang w:val="en-US" w:eastAsia="zh-CN"/>
        </w:rPr>
        <w:t>或</w:t>
      </w:r>
      <w:r>
        <w:rPr>
          <w:rFonts w:hint="eastAsia" w:ascii="黑体" w:hAnsi="黑体" w:eastAsia="黑体" w:cs="黑体"/>
          <w:color w:val="000000"/>
          <w:highlight w:val="none"/>
        </w:rPr>
        <w:t>学位课程绩点未达2.0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的</w:t>
      </w:r>
      <w:r>
        <w:rPr>
          <w:rFonts w:hint="eastAsia" w:ascii="黑体" w:hAnsi="黑体" w:eastAsia="黑体" w:cs="黑体"/>
          <w:highlight w:val="none"/>
          <w:lang w:eastAsia="zh-CN"/>
        </w:rPr>
        <w:t>，取消转段研究生资格，不参加研究生导师的双选，按五年制本科毕业；</w:t>
      </w:r>
      <w:r>
        <w:rPr>
          <w:rFonts w:hint="eastAsia" w:ascii="黑体" w:hAnsi="黑体" w:eastAsia="黑体" w:cs="黑体"/>
          <w:color w:val="000000"/>
          <w:highlight w:val="none"/>
        </w:rPr>
        <w:t>毕业时不符合毕业或学位授予条件</w:t>
      </w:r>
      <w:r>
        <w:rPr>
          <w:rFonts w:hint="eastAsia" w:ascii="黑体" w:hAnsi="黑体" w:eastAsia="黑体" w:cs="黑体"/>
          <w:color w:val="000000"/>
          <w:highlight w:val="none"/>
          <w:lang w:eastAsia="zh-CN"/>
        </w:rPr>
        <w:t>的</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取消转段研究生资格，</w:t>
      </w:r>
      <w:r>
        <w:rPr>
          <w:rFonts w:hint="eastAsia" w:ascii="黑体" w:hAnsi="黑体" w:eastAsia="黑体" w:cs="黑体"/>
          <w:highlight w:val="none"/>
          <w:lang w:eastAsia="zh-CN"/>
        </w:rPr>
        <w:t>按五年制本科毕业</w:t>
      </w:r>
      <w:r>
        <w:rPr>
          <w:rFonts w:hint="eastAsia" w:ascii="黑体" w:hAnsi="黑体" w:eastAsia="黑体" w:cs="黑体"/>
          <w:color w:val="000000"/>
          <w:highlight w:val="none"/>
          <w:lang w:eastAsia="zh-CN"/>
        </w:rPr>
        <w:t>。一旦转出，</w:t>
      </w:r>
      <w:r>
        <w:rPr>
          <w:rFonts w:hint="eastAsia" w:ascii="黑体" w:hAnsi="黑体" w:eastAsia="黑体" w:cs="黑体"/>
          <w:color w:val="000000"/>
          <w:highlight w:val="none"/>
        </w:rPr>
        <w:t>不再重新转入5+3培养体系。</w:t>
      </w:r>
    </w:p>
    <w:p w14:paraId="2EBBB32A">
      <w:pPr>
        <w:numPr>
          <w:ilvl w:val="0"/>
          <w:numId w:val="0"/>
        </w:num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第六十八条 本硕博一体化专业</w:t>
      </w:r>
      <w:r>
        <w:rPr>
          <w:rFonts w:hint="eastAsia" w:ascii="黑体" w:hAnsi="黑体" w:eastAsia="黑体" w:cs="黑体"/>
          <w:color w:val="000000"/>
          <w:highlight w:val="none"/>
          <w:lang w:eastAsia="zh-CN"/>
        </w:rPr>
        <w:t>：临床医学（天元卓越班）</w:t>
      </w:r>
      <w:r>
        <w:rPr>
          <w:rFonts w:hint="eastAsia" w:ascii="黑体" w:hAnsi="黑体" w:eastAsia="黑体" w:cs="黑体"/>
          <w:color w:val="000000"/>
          <w:highlight w:val="none"/>
        </w:rPr>
        <w:t>学生有下列情形之一，即转出本硕博一体化培养体系</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转出后不得再转回本硕博培养体系：</w:t>
      </w:r>
    </w:p>
    <w:p w14:paraId="781A6EBF">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1.必修课程初修成绩累计超过2门不及格，分流至5+3一体化培养体系。</w:t>
      </w:r>
    </w:p>
    <w:p w14:paraId="6B150900">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2.必修课程成绩补考后仍有不及格，分流至5+3一体化培养体系。</w:t>
      </w:r>
    </w:p>
    <w:p w14:paraId="66391712">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3.学业总评成绩低于75.00分，分流至5+3一体化培养体系。</w:t>
      </w:r>
    </w:p>
    <w:p w14:paraId="1AA27189">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4.根据培养计划科研能力考核不合格，分流至5+3一体化培养体系。</w:t>
      </w:r>
    </w:p>
    <w:p w14:paraId="6DD056F7">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5.达到留级条件，分流至五年制临床医学专业。</w:t>
      </w:r>
    </w:p>
    <w:p w14:paraId="643DD9C4">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6.四升五时仍有课程不合格或学位课程绩点未达2.00，或毕业时不符合毕业或学位授予条件的，按五年制本科毕业。</w:t>
      </w:r>
    </w:p>
    <w:p w14:paraId="41B862CA">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第六十</w:t>
      </w:r>
      <w:r>
        <w:rPr>
          <w:rFonts w:hint="eastAsia" w:ascii="黑体" w:hAnsi="黑体" w:eastAsia="黑体" w:cs="黑体"/>
          <w:color w:val="000000"/>
          <w:highlight w:val="none"/>
          <w:lang w:eastAsia="zh-CN"/>
        </w:rPr>
        <w:t>九</w:t>
      </w:r>
      <w:r>
        <w:rPr>
          <w:rFonts w:hint="eastAsia" w:ascii="黑体" w:hAnsi="黑体" w:eastAsia="黑体" w:cs="黑体"/>
          <w:color w:val="000000"/>
          <w:highlight w:val="none"/>
        </w:rPr>
        <w:t>条</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本博一体化专业：</w:t>
      </w:r>
      <w:r>
        <w:rPr>
          <w:rFonts w:hint="eastAsia" w:ascii="黑体" w:hAnsi="黑体" w:eastAsia="黑体" w:cs="黑体"/>
          <w:color w:val="000000"/>
          <w:highlight w:val="none"/>
          <w:lang w:eastAsia="zh-CN"/>
        </w:rPr>
        <w:t>基础</w:t>
      </w:r>
      <w:r>
        <w:rPr>
          <w:rFonts w:hint="eastAsia" w:ascii="黑体" w:hAnsi="黑体" w:eastAsia="黑体" w:cs="黑体"/>
          <w:color w:val="000000"/>
          <w:highlight w:val="none"/>
        </w:rPr>
        <w:t>医学（天元创新班）</w:t>
      </w:r>
      <w:r>
        <w:rPr>
          <w:rFonts w:hint="eastAsia" w:ascii="黑体" w:hAnsi="黑体" w:eastAsia="黑体" w:cs="黑体"/>
          <w:color w:val="000000"/>
          <w:highlight w:val="none"/>
          <w:lang w:eastAsia="zh-CN"/>
        </w:rPr>
        <w:t>、预防医学（天元创新班）</w:t>
      </w:r>
      <w:r>
        <w:rPr>
          <w:rFonts w:hint="eastAsia" w:ascii="黑体" w:hAnsi="黑体" w:eastAsia="黑体" w:cs="黑体"/>
          <w:color w:val="000000"/>
          <w:highlight w:val="none"/>
        </w:rPr>
        <w:t>学生有下列情形之一，即转出本博一体化培养体系，</w:t>
      </w:r>
      <w:r>
        <w:rPr>
          <w:rFonts w:hint="eastAsia" w:ascii="黑体" w:hAnsi="黑体" w:eastAsia="黑体" w:cs="黑体"/>
          <w:color w:val="000000"/>
          <w:highlight w:val="none"/>
          <w:lang w:eastAsia="zh-CN"/>
        </w:rPr>
        <w:t>转入相应本科专业，</w:t>
      </w:r>
      <w:r>
        <w:rPr>
          <w:rFonts w:hint="eastAsia" w:ascii="黑体" w:hAnsi="黑体" w:eastAsia="黑体" w:cs="黑体"/>
          <w:color w:val="000000"/>
          <w:highlight w:val="none"/>
        </w:rPr>
        <w:t>转出后不得再转回本博培养体系：</w:t>
      </w:r>
    </w:p>
    <w:p w14:paraId="426A1797">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1.必修课程初修成绩累计超过2门不及格。</w:t>
      </w:r>
    </w:p>
    <w:p w14:paraId="3FBD5015">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2.必修课程成绩补考后仍有不及格。</w:t>
      </w:r>
    </w:p>
    <w:p w14:paraId="51E440EF">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3.学业总评成绩低于75.00分。</w:t>
      </w:r>
    </w:p>
    <w:p w14:paraId="10D321FC">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4.根据培养计划科研能力考核不合格。</w:t>
      </w:r>
    </w:p>
    <w:p w14:paraId="06315701">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5.达到留级条件。</w:t>
      </w:r>
    </w:p>
    <w:p w14:paraId="2D829E07">
      <w:pPr>
        <w:ind w:firstLine="420" w:firstLine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6.四升五时仍有课程不合格或学位课程绩点未达2.00，或毕业时不符合毕业或学位授予条件的，按五年制本科毕业。</w:t>
      </w:r>
    </w:p>
    <w:p w14:paraId="1F3AB23D">
      <w:pPr>
        <w:ind w:firstLine="42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本章节规定自2023级学生执行，留级学生按留级后所在年级的相关规定执行，解释权在教务处。</w:t>
      </w:r>
    </w:p>
    <w:p w14:paraId="323DDE71">
      <w:pPr>
        <w:ind w:firstLine="420"/>
        <w:jc w:val="left"/>
        <w:rPr>
          <w:rFonts w:hint="eastAsia" w:ascii="黑体" w:hAnsi="黑体" w:eastAsia="黑体" w:cs="黑体"/>
          <w:color w:val="000000"/>
          <w:highlight w:val="none"/>
        </w:rPr>
      </w:pPr>
    </w:p>
    <w:p w14:paraId="35704EA1">
      <w:pPr>
        <w:jc w:val="center"/>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rPr>
        <w:t>章  学位授予</w:t>
      </w:r>
    </w:p>
    <w:p w14:paraId="24E2213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w:t>
      </w:r>
      <w:r>
        <w:rPr>
          <w:rFonts w:hint="eastAsia" w:ascii="黑体" w:hAnsi="黑体" w:eastAsia="黑体" w:cs="黑体"/>
          <w:color w:val="000000"/>
          <w:highlight w:val="none"/>
          <w:lang w:val="en-US" w:eastAsia="zh-CN"/>
        </w:rPr>
        <w:t>七十</w:t>
      </w:r>
      <w:r>
        <w:rPr>
          <w:rFonts w:hint="eastAsia" w:ascii="黑体" w:hAnsi="黑体" w:eastAsia="黑体" w:cs="黑体"/>
          <w:color w:val="000000"/>
          <w:highlight w:val="none"/>
        </w:rPr>
        <w:t>条 根据《中华人民共和国学位条例》有关学位授予规定，经校学位评定委员会审定，凡符合《南京医科大学学士学位授予实施细则》的我校本科毕业生(含</w:t>
      </w:r>
      <w:r>
        <w:rPr>
          <w:rFonts w:hint="eastAsia" w:ascii="黑体" w:hAnsi="黑体" w:eastAsia="黑体" w:cs="黑体"/>
          <w:color w:val="000000"/>
          <w:highlight w:val="none"/>
          <w:lang w:val="en-US" w:eastAsia="zh-CN"/>
        </w:rPr>
        <w:t>长学制</w:t>
      </w:r>
      <w:r>
        <w:rPr>
          <w:rFonts w:hint="eastAsia" w:ascii="黑体" w:hAnsi="黑体" w:eastAsia="黑体" w:cs="黑体"/>
          <w:color w:val="000000"/>
          <w:highlight w:val="none"/>
        </w:rPr>
        <w:t>专业本科段毕业生)，可授予学士学位。</w:t>
      </w:r>
    </w:p>
    <w:p w14:paraId="2EFDE983">
      <w:pPr>
        <w:ind w:firstLine="420" w:firstLineChars="200"/>
        <w:rPr>
          <w:rFonts w:hint="eastAsia" w:ascii="黑体" w:hAnsi="黑体" w:eastAsia="黑体" w:cs="黑体"/>
          <w:color w:val="000000"/>
          <w:highlight w:val="none"/>
        </w:rPr>
      </w:pPr>
    </w:p>
    <w:p w14:paraId="3C052F6E">
      <w:pPr>
        <w:jc w:val="center"/>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三</w:t>
      </w:r>
      <w:r>
        <w:rPr>
          <w:rFonts w:hint="eastAsia" w:ascii="黑体" w:hAnsi="黑体" w:eastAsia="黑体" w:cs="黑体"/>
          <w:color w:val="000000"/>
          <w:highlight w:val="none"/>
        </w:rPr>
        <w:t>章  学业证书管理</w:t>
      </w:r>
    </w:p>
    <w:p w14:paraId="4814473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rPr>
        <w:t>条 学校按照招生时确定的办学类型和学习形式，以及学生招生录取时填报的个人信息，填写、颁发学历证书、学位证书及其他学业证书。学生在校期间变更姓名、出生日期等证书需填写的个人信息的，应当有合理、充分的理由，并提供有法定效力的相应证明文件交学院审查、教务处复核后，提交教育部学籍学历信息管理平台变更。</w:t>
      </w:r>
    </w:p>
    <w:p w14:paraId="28A3F92B">
      <w:pPr>
        <w:autoSpaceDE w:val="0"/>
        <w:autoSpaceDN w:val="0"/>
        <w:adjustRightInd w:val="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rPr>
        <w:t>条 学校按照高等教育学籍学历电子注册管理制度完成学生图像采集、学籍学历电子注册，按照教育部学位中心要求完成学士学位授予信息的报送、备案工作。</w:t>
      </w:r>
    </w:p>
    <w:p w14:paraId="3647088D">
      <w:pPr>
        <w:autoSpaceDE w:val="0"/>
        <w:autoSpaceDN w:val="0"/>
        <w:adjustRightInd w:val="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三</w:t>
      </w:r>
      <w:r>
        <w:rPr>
          <w:rFonts w:hint="eastAsia" w:ascii="黑体" w:hAnsi="黑体" w:eastAsia="黑体" w:cs="黑体"/>
          <w:color w:val="000000"/>
          <w:highlight w:val="none"/>
        </w:rPr>
        <w:t>条 对违反国家招生规定取得入学资格或者学籍的，取消其学籍，不颁发学历证书、学位证书；已发的学历证书、学位证书，依法予以撤销。对以作弊、剽窃、抄袭等学术不端行为或者其他不正当手段获得学历证书、学位证书的，依法予以撤销。被撤销的学历证书、学位证书已注册的，学校予以注销并报教育行政部门宣布无效。</w:t>
      </w:r>
    </w:p>
    <w:p w14:paraId="4247760C">
      <w:pPr>
        <w:autoSpaceDE w:val="0"/>
        <w:autoSpaceDN w:val="0"/>
        <w:adjustRightInd w:val="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rPr>
        <w:t>条 学历证书和学位证书遗失或者损坏，经本人申请，学校核实后可出具相应的证明书。证明书与原证书具有同等效力。</w:t>
      </w:r>
    </w:p>
    <w:p w14:paraId="79D70EB1">
      <w:pPr>
        <w:autoSpaceDE w:val="0"/>
        <w:autoSpaceDN w:val="0"/>
        <w:adjustRightInd w:val="0"/>
        <w:ind w:firstLine="420" w:firstLineChars="200"/>
        <w:rPr>
          <w:rFonts w:hint="eastAsia" w:ascii="黑体" w:hAnsi="黑体" w:eastAsia="黑体" w:cs="黑体"/>
          <w:color w:val="000000"/>
          <w:highlight w:val="none"/>
        </w:rPr>
      </w:pPr>
    </w:p>
    <w:p w14:paraId="3101DFFD">
      <w:pPr>
        <w:jc w:val="center"/>
        <w:rPr>
          <w:rFonts w:hint="eastAsia" w:ascii="黑体" w:hAnsi="黑体" w:eastAsia="黑体" w:cs="黑体"/>
          <w:color w:val="000000"/>
          <w:highlight w:val="none"/>
        </w:rPr>
      </w:pPr>
    </w:p>
    <w:p w14:paraId="26526C01">
      <w:pPr>
        <w:jc w:val="center"/>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rPr>
        <w:t>章  附  则</w:t>
      </w:r>
    </w:p>
    <w:p w14:paraId="061A1DA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五</w:t>
      </w:r>
      <w:r>
        <w:rPr>
          <w:rFonts w:hint="eastAsia" w:ascii="黑体" w:hAnsi="黑体" w:eastAsia="黑体" w:cs="黑体"/>
          <w:color w:val="000000"/>
          <w:highlight w:val="none"/>
        </w:rPr>
        <w:t>条 继续教育学院和国际教育学院学生及港澳台侨学生的学籍管理可以参照本规定执行。有关补充规定由相应学院发布。</w:t>
      </w:r>
    </w:p>
    <w:p w14:paraId="7A0443C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第七十</w:t>
      </w:r>
      <w:r>
        <w:rPr>
          <w:rFonts w:hint="eastAsia" w:ascii="黑体" w:hAnsi="黑体" w:eastAsia="黑体" w:cs="黑体"/>
          <w:color w:val="000000"/>
          <w:highlight w:val="none"/>
          <w:lang w:val="en-US" w:eastAsia="zh-CN"/>
        </w:rPr>
        <w:t>六</w:t>
      </w:r>
      <w:r>
        <w:rPr>
          <w:rFonts w:hint="eastAsia" w:ascii="黑体" w:hAnsi="黑体" w:eastAsia="黑体" w:cs="黑体"/>
          <w:color w:val="000000"/>
          <w:highlight w:val="none"/>
        </w:rPr>
        <w:t>条 其他有关文件规定与本规定不一致的，以本规定为准。本规定解释权</w:t>
      </w:r>
      <w:r>
        <w:rPr>
          <w:rFonts w:hint="eastAsia" w:ascii="黑体" w:hAnsi="黑体" w:eastAsia="黑体" w:cs="黑体"/>
          <w:color w:val="000000"/>
          <w:highlight w:val="none"/>
          <w:lang w:val="en-US" w:eastAsia="zh-CN"/>
        </w:rPr>
        <w:t>在</w:t>
      </w:r>
      <w:r>
        <w:rPr>
          <w:rFonts w:hint="eastAsia" w:ascii="黑体" w:hAnsi="黑体" w:eastAsia="黑体" w:cs="黑体"/>
          <w:color w:val="000000"/>
          <w:highlight w:val="none"/>
        </w:rPr>
        <w:t>教务处。</w:t>
      </w:r>
    </w:p>
    <w:p w14:paraId="36A7FFF8">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1</w:t>
      </w:r>
      <w:r>
        <w:rPr>
          <w:rFonts w:hint="eastAsia" w:ascii="黑体" w:hAnsi="黑体" w:eastAsia="黑体" w:cs="黑体"/>
          <w:color w:val="000000"/>
          <w:sz w:val="28"/>
          <w:szCs w:val="28"/>
          <w:highlight w:val="none"/>
        </w:rPr>
        <w:t xml:space="preserve">  南京医科大学学士学位授予实施细则</w:t>
      </w:r>
    </w:p>
    <w:p w14:paraId="260CFDD2">
      <w:pPr>
        <w:spacing w:line="440" w:lineRule="exact"/>
        <w:jc w:val="center"/>
        <w:rPr>
          <w:rFonts w:hint="eastAsia" w:ascii="黑体" w:hAnsi="黑体" w:eastAsia="黑体" w:cs="黑体"/>
          <w:color w:val="000000"/>
          <w:sz w:val="24"/>
          <w:szCs w:val="28"/>
          <w:highlight w:val="none"/>
        </w:rPr>
      </w:pPr>
      <w:r>
        <w:rPr>
          <w:rFonts w:hint="eastAsia" w:ascii="黑体" w:hAnsi="黑体" w:eastAsia="黑体" w:cs="黑体"/>
          <w:color w:val="000000"/>
          <w:sz w:val="24"/>
          <w:szCs w:val="28"/>
          <w:highlight w:val="none"/>
        </w:rPr>
        <w:t>(20</w:t>
      </w:r>
      <w:r>
        <w:rPr>
          <w:rFonts w:hint="eastAsia" w:ascii="黑体" w:hAnsi="黑体" w:eastAsia="黑体" w:cs="黑体"/>
          <w:color w:val="000000"/>
          <w:sz w:val="24"/>
          <w:szCs w:val="28"/>
          <w:highlight w:val="none"/>
          <w:lang w:val="en-US" w:eastAsia="zh-CN"/>
        </w:rPr>
        <w:t>21</w:t>
      </w:r>
      <w:r>
        <w:rPr>
          <w:rFonts w:hint="eastAsia" w:ascii="黑体" w:hAnsi="黑体" w:eastAsia="黑体" w:cs="黑体"/>
          <w:color w:val="000000"/>
          <w:sz w:val="24"/>
          <w:szCs w:val="28"/>
          <w:highlight w:val="none"/>
        </w:rPr>
        <w:t>年修订)</w:t>
      </w:r>
    </w:p>
    <w:p w14:paraId="20288928">
      <w:pPr>
        <w:keepNext w:val="0"/>
        <w:keepLines w:val="0"/>
        <w:pageBreakBefore w:val="0"/>
        <w:widowControl w:val="0"/>
        <w:tabs>
          <w:tab w:val="left" w:pos="1680"/>
        </w:tabs>
        <w:kinsoku/>
        <w:wordWrap/>
        <w:overflowPunct/>
        <w:topLinePunct w:val="0"/>
        <w:autoSpaceDE/>
        <w:autoSpaceDN/>
        <w:bidi w:val="0"/>
        <w:adjustRightInd/>
        <w:snapToGrid/>
        <w:spacing w:before="313" w:beforeLines="100"/>
        <w:jc w:val="center"/>
        <w:textAlignment w:val="auto"/>
        <w:rPr>
          <w:rFonts w:hint="eastAsia" w:ascii="黑体" w:hAnsi="黑体" w:eastAsia="黑体" w:cs="黑体"/>
          <w:color w:val="000000"/>
          <w:highlight w:val="none"/>
        </w:rPr>
      </w:pPr>
      <w:r>
        <w:rPr>
          <w:rFonts w:hint="eastAsia" w:ascii="黑体" w:hAnsi="黑体" w:eastAsia="黑体" w:cs="黑体"/>
          <w:color w:val="000000"/>
          <w:highlight w:val="none"/>
        </w:rPr>
        <w:t xml:space="preserve">第一章 </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学士学位授予条件</w:t>
      </w:r>
    </w:p>
    <w:p w14:paraId="12F09986">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第一条 为规范我校学士学位授予办法，根据《中华人民共和国学位法草案》《学士学位授权与授予管理办法》等有关学士学位授予规定，结合我校的实际情况，特制定本细则。</w:t>
      </w:r>
    </w:p>
    <w:p w14:paraId="0A1CFD02">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第二条 本实施细则适用于我校接受普通高等学历教育的全日制本科生（包括长学制专业本科阶段、3+2联合培养本科阶段）的学位授予。</w:t>
      </w:r>
    </w:p>
    <w:p w14:paraId="01E672EA">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第三条 授予学士学位基本条件</w:t>
      </w:r>
    </w:p>
    <w:p w14:paraId="019F9460">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通过规定的思想政治理论课</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热爱祖国，拥护共产党领导和社会主义制度，具有艰苦奋斗、勇于创新的精神，有理想、有道德、守纪律、全心全意为人民服务，遵守学术道德和学术规范。</w:t>
      </w:r>
    </w:p>
    <w:p w14:paraId="73F6FB7F">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完成教学计划规定的各项要求。通过基础理论课和专业课等课程考核并取得规定的学分，通过学位论文（毕业设计或者其他毕业实践环节）审查达到本科生毕业要求。能较好地掌握本专业学科的基本理论、专业知识和基本技能，并初步具有从事科学研究工作或者承担专业工作的能力。</w:t>
      </w:r>
    </w:p>
    <w:p w14:paraId="1FB8900D">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第四条 凡有下列情况之一者，毕业时不授予学士学位。</w:t>
      </w:r>
    </w:p>
    <w:p w14:paraId="09E67415">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受到记过或留校察看处分未解除者。</w:t>
      </w:r>
    </w:p>
    <w:p w14:paraId="70B5D6CA">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在校学习期间，有作弊、剽窃、抄袭等学术不端行为者。</w:t>
      </w:r>
    </w:p>
    <w:p w14:paraId="214D28E1">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实习中发生责任事故，造成严重后果者。</w:t>
      </w:r>
    </w:p>
    <w:p w14:paraId="2E165A7A">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在校学习期间，所学专业核心课程平均学分绩点未达2.0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（少数民族特招生的核心课程绩点不受此条限制）。</w:t>
      </w:r>
    </w:p>
    <w:p w14:paraId="47B41D16">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“3+2”高职与本科联合培养的临床医学专业学生未通过助理全科医生规范化培训考试者。</w:t>
      </w:r>
    </w:p>
    <w:p w14:paraId="79A9A799">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在校学习期间，未通过本校组织的全国大学英语考试四级（四级合格分数线425分）者。(其他语种高考生学位授予外语水平参照英语级别)</w:t>
      </w:r>
    </w:p>
    <w:p w14:paraId="26250703">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7</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结业学生（因存在考试、考核不合格、学分未修满等原因未达毕业条件者）。</w:t>
      </w:r>
    </w:p>
    <w:p w14:paraId="63419EFF">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第五条 除以上规定外，英语专业学生必须通过本校组织的全国</w:t>
      </w:r>
      <w:r>
        <w:rPr>
          <w:rFonts w:hint="eastAsia" w:ascii="黑体" w:hAnsi="黑体" w:eastAsia="黑体" w:cs="黑体"/>
          <w:color w:val="000000"/>
          <w:highlight w:val="none"/>
          <w:lang w:val="en-US" w:eastAsia="zh-CN"/>
        </w:rPr>
        <w:t>高等学校</w:t>
      </w:r>
      <w:r>
        <w:rPr>
          <w:rFonts w:hint="eastAsia" w:ascii="黑体" w:hAnsi="黑体" w:eastAsia="黑体" w:cs="黑体"/>
          <w:color w:val="000000"/>
          <w:highlight w:val="none"/>
        </w:rPr>
        <w:t>英语专业四级考试方可申请学士学位；生物医学工程、生物信息学、智能医学工程、医学信息工程专业学生必须通过本校组织的全国计算机二级考试方可申请学士学位。</w:t>
      </w:r>
    </w:p>
    <w:p w14:paraId="682323DE">
      <w:pPr>
        <w:keepNext w:val="0"/>
        <w:keepLines w:val="0"/>
        <w:pageBreakBefore w:val="0"/>
        <w:widowControl w:val="0"/>
        <w:tabs>
          <w:tab w:val="left" w:pos="1680"/>
        </w:tabs>
        <w:kinsoku/>
        <w:wordWrap/>
        <w:overflowPunct/>
        <w:topLinePunct w:val="0"/>
        <w:autoSpaceDE/>
        <w:autoSpaceDN/>
        <w:bidi w:val="0"/>
        <w:adjustRightInd/>
        <w:snapToGrid/>
        <w:spacing w:before="157" w:beforeLines="50"/>
        <w:jc w:val="center"/>
        <w:textAlignment w:val="auto"/>
        <w:rPr>
          <w:rFonts w:hint="eastAsia" w:ascii="黑体" w:hAnsi="黑体" w:eastAsia="黑体" w:cs="黑体"/>
          <w:color w:val="000000"/>
          <w:highlight w:val="none"/>
        </w:rPr>
      </w:pPr>
      <w:r>
        <w:rPr>
          <w:rFonts w:hint="eastAsia" w:ascii="黑体" w:hAnsi="黑体" w:eastAsia="黑体" w:cs="黑体"/>
          <w:color w:val="000000"/>
          <w:highlight w:val="none"/>
        </w:rPr>
        <w:t>第二章</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 xml:space="preserve"> 学士学位授予程序</w:t>
      </w:r>
    </w:p>
    <w:p w14:paraId="730B2FAE">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第六条 符合本细则规定条件的学生，达到学位授予的学业要求和相应条件的受教育者需填报《南京医科大学学士学位申请表》向所在学院的学位评定分委会提交个人申请。</w:t>
      </w:r>
    </w:p>
    <w:p w14:paraId="6EB58D07">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第七条 各学院学位评定分委员会对本专业本科毕业生的学习成绩和鉴定材料逐</w:t>
      </w:r>
      <w:r>
        <w:rPr>
          <w:rFonts w:hint="eastAsia" w:ascii="黑体" w:hAnsi="黑体" w:eastAsia="黑体" w:cs="黑体"/>
          <w:color w:val="000000"/>
          <w:highlight w:val="none"/>
          <w:lang w:eastAsia="zh-CN"/>
        </w:rPr>
        <w:t>一</w:t>
      </w:r>
      <w:r>
        <w:rPr>
          <w:rFonts w:hint="eastAsia" w:ascii="黑体" w:hAnsi="黑体" w:eastAsia="黑体" w:cs="黑体"/>
          <w:color w:val="000000"/>
          <w:highlight w:val="none"/>
        </w:rPr>
        <w:t>进行审核，提出符合授予学士学位的学生名单，对不符合授予学士学位者作出情况报告，再经教务处审核，提交校学位评定委员会审查。</w:t>
      </w:r>
    </w:p>
    <w:p w14:paraId="7571D467">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第八条 原则上学院学位评定分委员会表决未通过者不再提交校学位评定委员会审议。</w:t>
      </w:r>
    </w:p>
    <w:p w14:paraId="7589EF2E">
      <w:pPr>
        <w:keepNext w:val="0"/>
        <w:keepLines w:val="0"/>
        <w:pageBreakBefore w:val="0"/>
        <w:widowControl w:val="0"/>
        <w:tabs>
          <w:tab w:val="left" w:pos="1680"/>
        </w:tabs>
        <w:kinsoku/>
        <w:wordWrap/>
        <w:overflowPunct/>
        <w:topLinePunct w:val="0"/>
        <w:autoSpaceDE/>
        <w:autoSpaceDN/>
        <w:bidi w:val="0"/>
        <w:adjustRightInd/>
        <w:snapToGrid/>
        <w:spacing w:before="157" w:beforeLines="50"/>
        <w:jc w:val="center"/>
        <w:textAlignment w:val="auto"/>
        <w:rPr>
          <w:rFonts w:hint="eastAsia" w:ascii="黑体" w:hAnsi="黑体" w:eastAsia="黑体" w:cs="黑体"/>
          <w:color w:val="000000"/>
          <w:highlight w:val="none"/>
        </w:rPr>
      </w:pPr>
      <w:r>
        <w:rPr>
          <w:rFonts w:hint="eastAsia" w:ascii="黑体" w:hAnsi="黑体" w:eastAsia="黑体" w:cs="黑体"/>
          <w:color w:val="000000"/>
          <w:highlight w:val="none"/>
        </w:rPr>
        <w:t xml:space="preserve">第三章 </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学士学位授予救济</w:t>
      </w:r>
    </w:p>
    <w:p w14:paraId="73D3D1B8">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w:t>
      </w:r>
      <w:r>
        <w:rPr>
          <w:rFonts w:hint="eastAsia" w:ascii="黑体" w:hAnsi="黑体" w:eastAsia="黑体" w:cs="黑体"/>
          <w:color w:val="000000"/>
          <w:highlight w:val="none"/>
          <w:lang w:val="en-US" w:eastAsia="zh-CN"/>
        </w:rPr>
        <w:t>九</w:t>
      </w:r>
      <w:r>
        <w:rPr>
          <w:rFonts w:hint="eastAsia" w:ascii="黑体" w:hAnsi="黑体" w:eastAsia="黑体" w:cs="黑体"/>
          <w:color w:val="000000"/>
          <w:highlight w:val="none"/>
        </w:rPr>
        <w:t>条 学位申请人在我校学习期间以及学位申请、同行评阅、答辩过程中存在作弊、剽窃、抄袭等学术不端、作伪造假等行为的，学位评定委员会可以作出不授予其学位的决定。毕业时，如经过考察，</w:t>
      </w:r>
      <w:r>
        <w:rPr>
          <w:rFonts w:hint="eastAsia" w:ascii="黑体" w:hAnsi="黑体" w:eastAsia="黑体" w:cs="黑体"/>
          <w:color w:val="000000"/>
          <w:highlight w:val="none"/>
          <w:lang w:val="en-US" w:eastAsia="zh-CN"/>
        </w:rPr>
        <w:t>在处分后</w:t>
      </w:r>
      <w:r>
        <w:rPr>
          <w:rFonts w:hint="eastAsia" w:ascii="黑体" w:hAnsi="黑体" w:eastAsia="黑体" w:cs="黑体"/>
          <w:color w:val="000000"/>
          <w:highlight w:val="none"/>
        </w:rPr>
        <w:t>确已改正错误，进步显著，符合下列条件之一者，经院学位评定委员会研究提出特议报告，由教务处审核后提交校学位评定委员会审议。如校学位评定委员会表决通过，可授予学士学位。</w:t>
      </w:r>
    </w:p>
    <w:p w14:paraId="28FE5B93">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受到省级表彰一次或受到校级表彰两次及以上，且核心课程平均学分绩点达到2.0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lang w:eastAsia="zh-CN"/>
        </w:rPr>
        <w:t>。</w:t>
      </w:r>
    </w:p>
    <w:p w14:paraId="7357B02C">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受到校级表彰一次，且核心课程平均学分绩点达到2.3及以上。</w:t>
      </w:r>
    </w:p>
    <w:p w14:paraId="3545FB73">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w:t>
      </w:r>
      <w:r>
        <w:rPr>
          <w:rFonts w:hint="eastAsia" w:ascii="黑体" w:hAnsi="黑体" w:eastAsia="黑体" w:cs="黑体"/>
          <w:color w:val="000000"/>
          <w:highlight w:val="none"/>
          <w:lang w:val="en-US" w:eastAsia="zh-CN"/>
        </w:rPr>
        <w:t>十</w:t>
      </w:r>
      <w:r>
        <w:rPr>
          <w:rFonts w:hint="eastAsia" w:ascii="黑体" w:hAnsi="黑体" w:eastAsia="黑体" w:cs="黑体"/>
          <w:color w:val="000000"/>
          <w:highlight w:val="none"/>
        </w:rPr>
        <w:t>条 毕业时，有下列情况者暂不申请学士学位，毕业后2年内（且在最长学习年限内）可申请返校参加重修、补修，考核合格后，可申请学士学位，学位授予时间根据校学位评定委员会审核通过时间确定。</w:t>
      </w:r>
    </w:p>
    <w:p w14:paraId="01DB4EEF">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1.未通过全国大学英语四级考试。</w:t>
      </w:r>
    </w:p>
    <w:p w14:paraId="6683EAD0">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2.部分必修课学分、规定的选修课学分、第二课堂学分未获得。</w:t>
      </w:r>
    </w:p>
    <w:p w14:paraId="4E4E0A47">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3.毕业论文、毕业考核不合格。</w:t>
      </w:r>
    </w:p>
    <w:p w14:paraId="734CA87F">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4.所学专业核心课程学分绩点未达到2.0</w:t>
      </w:r>
      <w:r>
        <w:rPr>
          <w:rFonts w:hint="eastAsia" w:ascii="黑体" w:hAnsi="黑体" w:eastAsia="黑体" w:cs="黑体"/>
          <w:color w:val="000000"/>
          <w:highlight w:val="none"/>
          <w:lang w:val="en-US" w:eastAsia="zh-CN"/>
        </w:rPr>
        <w:t>0</w:t>
      </w:r>
      <w:r>
        <w:rPr>
          <w:rFonts w:hint="eastAsia" w:ascii="黑体" w:hAnsi="黑体" w:eastAsia="黑体" w:cs="黑体"/>
          <w:color w:val="000000"/>
          <w:highlight w:val="none"/>
        </w:rPr>
        <w:t>。</w:t>
      </w:r>
    </w:p>
    <w:p w14:paraId="02C28372">
      <w:pPr>
        <w:tabs>
          <w:tab w:val="left" w:pos="1680"/>
        </w:tabs>
        <w:ind w:firstLine="420" w:firstLineChars="200"/>
        <w:jc w:val="center"/>
        <w:rPr>
          <w:rFonts w:hint="eastAsia" w:ascii="黑体" w:hAnsi="黑体" w:eastAsia="黑体" w:cs="黑体"/>
          <w:color w:val="000000"/>
          <w:highlight w:val="none"/>
        </w:rPr>
      </w:pPr>
    </w:p>
    <w:p w14:paraId="6AD4EF4A">
      <w:pPr>
        <w:tabs>
          <w:tab w:val="left" w:pos="1680"/>
        </w:tabs>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 xml:space="preserve">第四章 </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学士学位授予保障</w:t>
      </w:r>
    </w:p>
    <w:p w14:paraId="4FFEDBB5">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rPr>
        <w:t>条 已经获得学位者，在获得该学位过程中有下列情形之一的，经学位评定委员会审议决定，撤销学位，收回或者宣布学位证书无效：</w:t>
      </w:r>
    </w:p>
    <w:p w14:paraId="4328D197">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1.学位论文或者实践成果存在严重剽窃、伪造、抄袭、数据造假等学术不端行为的，质量不符合标准的；</w:t>
      </w:r>
    </w:p>
    <w:p w14:paraId="54B384C8">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2.以冒名顶替、徇私舞弊等非法手段取得入学资格或者毕业证书的；</w:t>
      </w:r>
    </w:p>
    <w:p w14:paraId="2F05F14C">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3.在学习期间存在不应当授予学位的其他违法违规行为的。</w:t>
      </w:r>
    </w:p>
    <w:p w14:paraId="50D9FA82">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校学位评定委员会在作出不授予学位或者撤销学位的决定前，需听取学位申请人或者学位获得者的陈述和申辩。　</w:t>
      </w:r>
    </w:p>
    <w:p w14:paraId="38A1D1F1">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受教育者对于不受理本人学位申请、不授予本人学士学位的决议或者决定不服的，学位获得者对于撤销其学位的决议或者决定有异议的，可以向校学生申诉处理委员会提出申诉。</w:t>
      </w:r>
    </w:p>
    <w:p w14:paraId="717F2DD0">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有利害关系的公民、法人和其他组织对授予学位的决议和决定有不同意见的，可以向校学位评定委员会提出异议。</w:t>
      </w:r>
    </w:p>
    <w:p w14:paraId="51BB3941">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学位收到申诉或者异议之日起九十日内进行复核并作出复核决定。对复核决定仍不同意的，可以依法申请行政复议或者提起行政诉讼。</w:t>
      </w:r>
    </w:p>
    <w:p w14:paraId="4F26E03A">
      <w:pPr>
        <w:tabs>
          <w:tab w:val="left" w:pos="1680"/>
        </w:tabs>
        <w:jc w:val="center"/>
        <w:rPr>
          <w:rFonts w:hint="eastAsia" w:ascii="黑体" w:hAnsi="黑体" w:eastAsia="黑体" w:cs="黑体"/>
          <w:color w:val="000000"/>
          <w:highlight w:val="none"/>
        </w:rPr>
      </w:pPr>
    </w:p>
    <w:p w14:paraId="04522A67">
      <w:pPr>
        <w:tabs>
          <w:tab w:val="left" w:pos="1680"/>
        </w:tabs>
        <w:jc w:val="center"/>
        <w:rPr>
          <w:rFonts w:hint="eastAsia" w:ascii="黑体" w:hAnsi="黑体" w:eastAsia="黑体" w:cs="黑体"/>
          <w:color w:val="000000"/>
          <w:highlight w:val="none"/>
        </w:rPr>
      </w:pPr>
      <w:r>
        <w:rPr>
          <w:rFonts w:hint="eastAsia" w:ascii="黑体" w:hAnsi="黑体" w:eastAsia="黑体" w:cs="黑体"/>
          <w:color w:val="000000"/>
          <w:highlight w:val="none"/>
        </w:rPr>
        <w:t xml:space="preserve">第五章 </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附则</w:t>
      </w:r>
    </w:p>
    <w:p w14:paraId="3A432C4E">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留学生和继续教育学生的学士学位授予可参照执行，具体细则由国际教育学院和继续教育学院制定。</w:t>
      </w:r>
    </w:p>
    <w:p w14:paraId="108FF3F3">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我校学士学位授予权在校学位评定委员会；对经校学位评定委员会审核批准的学生，由学校授予学士学位。</w:t>
      </w:r>
    </w:p>
    <w:p w14:paraId="59A7BFCC">
      <w:pPr>
        <w:tabs>
          <w:tab w:val="left" w:pos="168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rPr>
        <w:t>条 本细则从2022届毕业</w:t>
      </w:r>
      <w:r>
        <w:rPr>
          <w:rFonts w:hint="eastAsia" w:ascii="黑体" w:hAnsi="黑体" w:eastAsia="黑体" w:cs="黑体"/>
          <w:color w:val="000000"/>
          <w:highlight w:val="none"/>
          <w:lang w:val="en-US" w:eastAsia="zh-CN"/>
        </w:rPr>
        <w:t>生</w:t>
      </w:r>
      <w:r>
        <w:rPr>
          <w:rFonts w:hint="eastAsia" w:ascii="黑体" w:hAnsi="黑体" w:eastAsia="黑体" w:cs="黑体"/>
          <w:color w:val="000000"/>
          <w:highlight w:val="none"/>
        </w:rPr>
        <w:t>开始执行，由校学位评定委员会委托教务处负责解释。</w:t>
      </w:r>
    </w:p>
    <w:p w14:paraId="291C22F5">
      <w:pPr>
        <w:spacing w:line="440" w:lineRule="exact"/>
        <w:jc w:val="center"/>
        <w:rPr>
          <w:rFonts w:hint="eastAsia" w:ascii="黑体" w:hAnsi="黑体" w:eastAsia="黑体" w:cs="黑体"/>
          <w:color w:val="000000"/>
          <w:sz w:val="28"/>
          <w:szCs w:val="28"/>
          <w:highlight w:val="none"/>
        </w:rPr>
      </w:pPr>
    </w:p>
    <w:p w14:paraId="5D682D95">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2</w:t>
      </w:r>
      <w:r>
        <w:rPr>
          <w:rFonts w:hint="eastAsia" w:ascii="黑体" w:hAnsi="黑体" w:eastAsia="黑体" w:cs="黑体"/>
          <w:color w:val="000000"/>
          <w:sz w:val="28"/>
          <w:szCs w:val="28"/>
          <w:highlight w:val="none"/>
        </w:rPr>
        <w:t xml:space="preserve">  南京医科大学全日制本科</w:t>
      </w:r>
    </w:p>
    <w:p w14:paraId="5B02F4D5">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课程成绩评定与考试管理办法(2019年修订)</w:t>
      </w:r>
    </w:p>
    <w:p w14:paraId="4D2E7508">
      <w:pPr>
        <w:ind w:firstLine="429" w:firstLineChars="179"/>
        <w:jc w:val="center"/>
        <w:rPr>
          <w:rFonts w:hint="eastAsia" w:ascii="黑体" w:hAnsi="黑体" w:eastAsia="黑体" w:cs="黑体"/>
          <w:color w:val="000000"/>
          <w:sz w:val="24"/>
          <w:highlight w:val="none"/>
        </w:rPr>
      </w:pPr>
    </w:p>
    <w:p w14:paraId="72E9E0C3">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第一章</w:t>
      </w:r>
      <w:r>
        <w:rPr>
          <w:rFonts w:hint="eastAsia" w:ascii="黑体" w:hAnsi="黑体" w:eastAsia="黑体" w:cs="黑体"/>
          <w:color w:val="000000"/>
          <w:highlight w:val="none"/>
        </w:rPr>
        <w:tab/>
      </w:r>
      <w:r>
        <w:rPr>
          <w:rFonts w:hint="eastAsia" w:ascii="黑体" w:hAnsi="黑体" w:eastAsia="黑体" w:cs="黑体"/>
          <w:color w:val="000000"/>
          <w:highlight w:val="none"/>
        </w:rPr>
        <w:t>总  则</w:t>
      </w:r>
    </w:p>
    <w:p w14:paraId="04EA9B3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第一条 课程成绩评定与考试管理是教学运行管理和教学质量监控的主要环节，是促进学生学习、检查教学效果和促进教学质量持续改进的重要手段。为完善本科生学业成绩评价体系，规范课程成绩评定与考试管理工作，严肃考试相关纪律，根据国家有关规定和学校教学管理规章制度，结合我校实际，特制定本办法。</w:t>
      </w:r>
    </w:p>
    <w:p w14:paraId="19170F7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第二条 本办法所称课程包括全日制本科生培养方案中的所有计算学分的课程及教学环节，其中，第二课堂创新创业、实践教育等教学环节在执行本办法的同时，还应执行相应的专门管理办法。</w:t>
      </w:r>
    </w:p>
    <w:p w14:paraId="32A7FCA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第三条 学生应当参加所修课程的考核，考核合格者可获得相应的学分，学生的课程考核成绩和学分获得情况计入学生成绩单和学籍档案，作为其毕业、取得学位、参评奖助学金、评优评奖、推免保研、出国访学等事项的依据。</w:t>
      </w:r>
    </w:p>
    <w:p w14:paraId="7CDED66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第四条 任课教师必须根据课程教学大纲要求，对学生修读课程进行考核评价。任课教师必须秉持客观、公平、公正的原则考核评价学生修读情况，独立进行考核评价，并适时分析、反馈考核评价结果。</w:t>
      </w:r>
    </w:p>
    <w:p w14:paraId="6131D1D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第五条 教务处和开课单位必须切实履行职责，加强对课程成绩评定和考试管理的监督检查，切实维护学生和教师的权利。 </w:t>
      </w:r>
    </w:p>
    <w:p w14:paraId="5955419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第六条 学校和二级教学单位应持续开展胜任力导向的课程考核评价方式改革，强化题库和平台的建设应用，切实发挥课程考核的检测与诊断、激励与导向、反馈与改进等作用。</w:t>
      </w:r>
    </w:p>
    <w:p w14:paraId="44A3DB7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第七条 学校秉持严格、客观、全面、多元综合评价课程成绩的原则，采用“平均学分绩点”作为综合评价学生学业水平的指标。</w:t>
      </w:r>
    </w:p>
    <w:p w14:paraId="61E7B526">
      <w:pPr>
        <w:ind w:firstLine="420" w:firstLineChars="200"/>
        <w:rPr>
          <w:rFonts w:hint="eastAsia" w:ascii="黑体" w:hAnsi="黑体" w:eastAsia="黑体" w:cs="黑体"/>
          <w:color w:val="000000"/>
          <w:highlight w:val="none"/>
        </w:rPr>
      </w:pPr>
    </w:p>
    <w:p w14:paraId="2637DDD9">
      <w:pPr>
        <w:jc w:val="center"/>
        <w:rPr>
          <w:rFonts w:hint="eastAsia" w:ascii="黑体" w:hAnsi="黑体" w:eastAsia="黑体" w:cs="黑体"/>
          <w:color w:val="000000"/>
          <w:highlight w:val="none"/>
        </w:rPr>
      </w:pPr>
      <w:r>
        <w:rPr>
          <w:rFonts w:hint="eastAsia" w:ascii="黑体" w:hAnsi="黑体" w:eastAsia="黑体" w:cs="黑体"/>
          <w:color w:val="000000"/>
          <w:highlight w:val="none"/>
        </w:rPr>
        <w:t>第二章</w:t>
      </w:r>
      <w:r>
        <w:rPr>
          <w:rFonts w:hint="eastAsia" w:ascii="黑体" w:hAnsi="黑体" w:eastAsia="黑体" w:cs="黑体"/>
          <w:color w:val="000000"/>
          <w:highlight w:val="none"/>
        </w:rPr>
        <w:tab/>
      </w:r>
      <w:r>
        <w:rPr>
          <w:rFonts w:hint="eastAsia" w:ascii="黑体" w:hAnsi="黑体" w:eastAsia="黑体" w:cs="黑体"/>
          <w:color w:val="000000"/>
          <w:highlight w:val="none"/>
        </w:rPr>
        <w:t>组织与管理</w:t>
      </w:r>
    </w:p>
    <w:p w14:paraId="5F44EB6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第八条 在主管副校长领导下，教务处负责组织制定有关课程成绩评定和考试工作的相关规定。各二级教学单位或开课单位的考试工作由主管教学领导根据学校的有关规定负责组织实施。 </w:t>
      </w:r>
    </w:p>
    <w:p w14:paraId="432504B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第九条 课程考核和成绩评定工作实行学校、二级教学单位(或开课单位)两级组织管理。</w:t>
      </w:r>
    </w:p>
    <w:p w14:paraId="54A76C1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(一)教务处全面负责课程考核工作的组织和协调，对全校考试(包括课程考试、补考、重修、补修等)工作进行管理、指导和监督，并发布考试时间、地点等信息。</w:t>
      </w:r>
    </w:p>
    <w:p w14:paraId="5D15365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开课单位及学系(教研室)负责课程考试的组织实施，包括命题、试卷印制及建档存档工作，根据教务处编排的考试日程和考场安排，确定考务人员，检查考场执行考试纪律情况，并做好评卷、成绩登记及公布、成绩总结分析和反馈等各项工作。</w:t>
      </w:r>
    </w:p>
    <w:p w14:paraId="251BDEA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(三)学生所在二级单位负责考生的组织管理，包括考风考纪宣讲、考试座位安排、考生突发情况处理等。</w:t>
      </w:r>
    </w:p>
    <w:p w14:paraId="7C2F1B9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(四)医学教育研究所教学评估中心负责课程成绩评定和考试管理的督导检查，将相关工作作为教学督导、教学评估和教学检查的重要内容。</w:t>
      </w:r>
    </w:p>
    <w:p w14:paraId="63B1759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第十条 二级教学单位或开课单位应加强对课程考核工作的领导，建立课程考核管理工作责任制和责任追究制，主管领导应当对考风建设、课程考核科目、命题、考核日程、监考人员、阅卷、试卷分析、试题保密等有关课程考核工作亲自过问、安排落实、督促检查，并承担领导责任。</w:t>
      </w:r>
    </w:p>
    <w:p w14:paraId="54E6FCF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第十一条 考试实行开课课程负责制和主考教师负责制，开课课程负责人和主考教师对考试命题、试卷领取、发放、收集及填写考场登记表、阅卷评分和成绩分析反馈等环节承担主要责任。</w:t>
      </w:r>
    </w:p>
    <w:p w14:paraId="6ACC8BE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第十二条 学校建立校院两级考风考纪巡视制度。教务处、学生工作处、医学教育研究所应组织教学督导专家、校院两级领导开展督考、巡考工作，对考风考纪和监考教师的履职情况等进行现场监督检查。</w:t>
      </w:r>
    </w:p>
    <w:p w14:paraId="3E27F017">
      <w:pPr>
        <w:ind w:firstLine="420" w:firstLineChars="200"/>
        <w:rPr>
          <w:rFonts w:hint="eastAsia" w:ascii="黑体" w:hAnsi="黑体" w:eastAsia="黑体" w:cs="黑体"/>
          <w:color w:val="000000"/>
          <w:spacing w:val="-4"/>
          <w:highlight w:val="none"/>
        </w:rPr>
      </w:pPr>
      <w:r>
        <w:rPr>
          <w:rFonts w:hint="eastAsia" w:ascii="黑体" w:hAnsi="黑体" w:eastAsia="黑体" w:cs="黑体"/>
          <w:color w:val="000000"/>
          <w:highlight w:val="none"/>
        </w:rPr>
        <w:t>第十三条 学校依法依规执行考试相关规定和违法违纪行为的调查处理。对课程考核过程中出现的任何违规违纪事件均应严肃查处，确保课程考核公正公平；对严重违纪、泄密等重大事故，应立即报告，并采</w:t>
      </w:r>
      <w:r>
        <w:rPr>
          <w:rFonts w:hint="eastAsia" w:ascii="黑体" w:hAnsi="黑体" w:eastAsia="黑体" w:cs="黑体"/>
          <w:color w:val="000000"/>
          <w:spacing w:val="-4"/>
          <w:highlight w:val="none"/>
        </w:rPr>
        <w:t>取有效措施控制事态发展，主管部门应立即组织查处。对发生事件隐匿不报或拖延报告的，应追究有关责任人和主管领导的责任；对事故责任人，应按规定做出严肃处理；对触犯法律者移交司法机关处理。</w:t>
      </w:r>
    </w:p>
    <w:p w14:paraId="5E9B297B">
      <w:pPr>
        <w:ind w:firstLine="420" w:firstLineChars="200"/>
        <w:rPr>
          <w:rFonts w:hint="eastAsia" w:ascii="黑体" w:hAnsi="黑体" w:eastAsia="黑体" w:cs="黑体"/>
          <w:color w:val="000000"/>
          <w:highlight w:val="none"/>
        </w:rPr>
      </w:pPr>
    </w:p>
    <w:p w14:paraId="201FE5B4">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第三章</w:t>
      </w:r>
      <w:r>
        <w:rPr>
          <w:rFonts w:hint="eastAsia" w:ascii="黑体" w:hAnsi="黑体" w:eastAsia="黑体" w:cs="黑体"/>
          <w:color w:val="000000"/>
          <w:highlight w:val="none"/>
        </w:rPr>
        <w:tab/>
      </w:r>
      <w:r>
        <w:rPr>
          <w:rFonts w:hint="eastAsia" w:ascii="黑体" w:hAnsi="黑体" w:eastAsia="黑体" w:cs="黑体"/>
          <w:color w:val="000000"/>
          <w:highlight w:val="none"/>
        </w:rPr>
        <w:t>课程考核</w:t>
      </w:r>
    </w:p>
    <w:p w14:paraId="4B8D18D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第十四条 课程考核由反映平时学习情况的过程考核和学习结果的期末考核两部分组成，考核结果构成学生所学课程总评成绩。</w:t>
      </w:r>
    </w:p>
    <w:p w14:paraId="1E0E0E3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第十五条 过程考核包括课程作业、学习表现和阶段考试三个环节，侧重考核学生在课程学习过程中的态度和行为、阶段性学习结果及持续改进情况。其中：</w:t>
      </w:r>
    </w:p>
    <w:p w14:paraId="22171CE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(一)课程作业的具体内容和实施要求参照《南京医科大学本科生课程作业管理暂行办法》执行。</w:t>
      </w:r>
    </w:p>
    <w:p w14:paraId="17D5B53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(二)学习表现由任课教师根据考勤、课堂提问、课堂讨论和课堂演示、课前预习和课后作业以及学习态度等课上课下综合表现评定成绩。</w:t>
      </w:r>
    </w:p>
    <w:p w14:paraId="472250B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(三)阶段考试可采取闭卷考试(含计算机化考试)、开卷考试(含线上、线下考试)、实践操作考试、口头表达考试(口试)、课程论文或作业等方式进行。</w:t>
      </w:r>
    </w:p>
    <w:p w14:paraId="5169E7C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第十六条 期末考核在课程教学结束后以期末考试的形式进行。期末考试可采取闭卷考试(含计算机化考试)、开卷考试、口头表达考试(口试)、实践操作考试、论文及答辩等方式，或上述方式相结合。</w:t>
      </w:r>
    </w:p>
    <w:p w14:paraId="6E31BAD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第十七条 每门课程应根据课程属性和教学大纲要求确定期末考试方式。</w:t>
      </w:r>
    </w:p>
    <w:p w14:paraId="3AA1BF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(一)专业核心课程的期末考试理论部分必须采用闭卷考试(含计算机化考试)。</w:t>
      </w:r>
    </w:p>
    <w:p w14:paraId="5CF4AC3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(二)非专业核心课程学分大于 2 的必修课程期末考试理论部分必须采用闭卷考试(含计算机化考试)。</w:t>
      </w:r>
    </w:p>
    <w:p w14:paraId="114EB41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(三)非专业核心课程学分小于等于 2 的必修课程期末考试理论部分可采用开卷考试，或由所在课程自行决定采用开卷或闭卷考试。</w:t>
      </w:r>
    </w:p>
    <w:p w14:paraId="6A10FEE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(四)选修课程期末考试可采用开卷考试，或由所在课程自行决定采用开卷或闭卷考试。</w:t>
      </w:r>
    </w:p>
    <w:p w14:paraId="59B3E75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第十八条 每门课程的考核方式及各考核部分所占比例，应在本课程的教学大纲中明确标出，并由任课教师在本课程开讲后的前两周内明确告知学生。</w:t>
      </w:r>
    </w:p>
    <w:p w14:paraId="6458CE1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第十九条 课程期末考试的具体时间和地点必须提前发布并告知学生。</w:t>
      </w:r>
    </w:p>
    <w:p w14:paraId="5299567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第二十条 课程期末考核考试日程按上午、下午、晚上三个时段各2小时(120分钟)安排。每门课程考试时间原则上安排2小时(120分钟)，特殊情况可适当延长，但每个时段安排不超过3小时(180分钟)。期末考核主要采用口试、实践操作考试等形式(成绩占比超过60％)的课程，每名学生被试时间不少于半小时(30分钟)。</w:t>
      </w:r>
    </w:p>
    <w:p w14:paraId="58D733B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第二十一条 学生按规定完成课程学习、接受过程考核并达到相应要求，取得期末考试资格。有下列情况之一的学生取消考试资格，期末考核成绩和课程总评成绩记为“0 分”。</w:t>
      </w:r>
    </w:p>
    <w:p w14:paraId="126078F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(一)累计缺课学时超过该门课程总学时数的1/3者。</w:t>
      </w:r>
    </w:p>
    <w:p w14:paraId="0DC18CB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(二)缺交作业(报告)超过应交数量的1/3者。</w:t>
      </w:r>
    </w:p>
    <w:p w14:paraId="4D3FE5B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(三)必修课考勤旷课3次者，选修课考勤旷课2次者。</w:t>
      </w:r>
    </w:p>
    <w:p w14:paraId="6281DB1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(四)非独立设置的实验考核不及格者。</w:t>
      </w:r>
    </w:p>
    <w:p w14:paraId="31FAFB7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(五)未经注册、选课，擅自修读该课程者。</w:t>
      </w:r>
    </w:p>
    <w:p w14:paraId="2CF0AE5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(六)抄袭作业情节严重，经批评教育不改者。</w:t>
      </w:r>
    </w:p>
    <w:p w14:paraId="18D2183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(七)被任课教师取消考试资格者。</w:t>
      </w:r>
    </w:p>
    <w:p w14:paraId="27F9B27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任课教师有权依据上述情况确定学生是否具备参加所修课程考试资格，可根据课程性质、学生学习情况，提出其他取消考试资格学生名单和原因，报所在学系(教研室)及学院</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批准后，取消学生考试资格。</w:t>
      </w:r>
    </w:p>
    <w:p w14:paraId="4837670F">
      <w:pPr>
        <w:ind w:firstLine="420" w:firstLineChars="200"/>
        <w:rPr>
          <w:rFonts w:hint="eastAsia" w:ascii="黑体" w:hAnsi="黑体" w:eastAsia="黑体" w:cs="黑体"/>
          <w:color w:val="000000"/>
          <w:highlight w:val="none"/>
        </w:rPr>
      </w:pPr>
    </w:p>
    <w:p w14:paraId="3C7C17C9">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第四章</w:t>
      </w:r>
      <w:r>
        <w:rPr>
          <w:rFonts w:hint="eastAsia" w:ascii="黑体" w:hAnsi="黑体" w:eastAsia="黑体" w:cs="黑体"/>
          <w:color w:val="000000"/>
          <w:highlight w:val="none"/>
        </w:rPr>
        <w:tab/>
      </w:r>
      <w:r>
        <w:rPr>
          <w:rFonts w:hint="eastAsia" w:ascii="黑体" w:hAnsi="黑体" w:eastAsia="黑体" w:cs="黑体"/>
          <w:color w:val="000000"/>
          <w:highlight w:val="none"/>
        </w:rPr>
        <w:t>成绩评定</w:t>
      </w:r>
    </w:p>
    <w:p w14:paraId="1BBC816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第二十二条 必修课程成绩评定一律采用百分制</w:t>
      </w:r>
      <w:r>
        <w:rPr>
          <w:rFonts w:hint="eastAsia" w:ascii="黑体" w:hAnsi="黑体" w:eastAsia="黑体" w:cs="黑体"/>
          <w:color w:val="000000"/>
          <w:highlight w:val="none"/>
          <w:lang w:val="en-US" w:eastAsia="zh-Hans"/>
        </w:rPr>
        <w:t>计</w:t>
      </w:r>
      <w:r>
        <w:rPr>
          <w:rFonts w:hint="eastAsia" w:ascii="黑体" w:hAnsi="黑体" w:eastAsia="黑体" w:cs="黑体"/>
          <w:color w:val="000000"/>
          <w:highlight w:val="none"/>
        </w:rPr>
        <w:t>分，并按学校有关规定进行等级或学分绩点换算；课程总评成绩大于等于 60 分为及格，及格以上成绩取得该门课程学分。</w:t>
      </w:r>
    </w:p>
    <w:p w14:paraId="6335AFB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第二十三条 选修课程成绩采用五级制(优秀、良好、中等、及格、不及格)或二级制(合格、不合格)评定，及格及以上或合格取得学分。</w:t>
      </w:r>
    </w:p>
    <w:p w14:paraId="66550AA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第二十四条 课程总评成绩由过程考核和期末考核两部分组成，过程考核成绩应占总评成绩的20％-50％，期末考核成绩占50％-80％。其中，核心课程的过程考核成绩占总评成绩的比例不超过 40％。各门课程可据此要求自行设置课程总评成绩构成。</w:t>
      </w:r>
    </w:p>
    <w:p w14:paraId="39D1B16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第二十五条 课程成绩分布应符合人才培养规律，激励和促进学生努力学习。开课单位应把课程考核成绩分布情况作为评价课程教学质量的重要指标之一。期末考核成绩应基本符合正态分布，学生人数较少的教学班课程成绩应符合高低排序原则。</w:t>
      </w:r>
    </w:p>
    <w:p w14:paraId="0107C0F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第二十六条 课程总评百分制成绩换算为课程绩点，记入学生成绩单和学籍档案。换算公式为：</w:t>
      </w:r>
    </w:p>
    <w:p w14:paraId="1EF4A002">
      <w:pPr>
        <w:ind w:firstLine="2100" w:firstLineChars="1000"/>
        <w:rPr>
          <w:rFonts w:hint="eastAsia" w:ascii="黑体" w:hAnsi="黑体" w:eastAsia="黑体" w:cs="黑体"/>
          <w:color w:val="000000"/>
          <w:highlight w:val="none"/>
        </w:rPr>
      </w:pPr>
      <w:r>
        <w:rPr>
          <w:rFonts w:hint="eastAsia" w:ascii="黑体" w:hAnsi="黑体" w:eastAsia="黑体" w:cs="黑体"/>
          <w:color w:val="000000"/>
          <w:highlight w:val="none"/>
        </w:rPr>
        <w:t>课程百分制成绩-50</w:t>
      </w:r>
    </w:p>
    <w:p w14:paraId="69441C32">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绩点=  ————————————  (成绩≥60)</w:t>
      </w:r>
    </w:p>
    <w:p w14:paraId="3F349954">
      <w:pPr>
        <w:ind w:firstLine="2940" w:firstLineChars="1400"/>
        <w:rPr>
          <w:rFonts w:hint="eastAsia" w:ascii="黑体" w:hAnsi="黑体" w:eastAsia="黑体" w:cs="黑体"/>
          <w:color w:val="000000"/>
          <w:highlight w:val="none"/>
        </w:rPr>
      </w:pPr>
      <w:r>
        <w:rPr>
          <w:rFonts w:hint="eastAsia" w:ascii="黑体" w:hAnsi="黑体" w:eastAsia="黑体" w:cs="黑体"/>
          <w:color w:val="000000"/>
          <w:highlight w:val="none"/>
        </w:rPr>
        <w:t>10</w:t>
      </w:r>
    </w:p>
    <w:p w14:paraId="611AE5AB">
      <w:pPr>
        <w:ind w:firstLine="1050" w:firstLineChars="500"/>
        <w:rPr>
          <w:rFonts w:hint="eastAsia" w:ascii="黑体" w:hAnsi="黑体" w:eastAsia="黑体" w:cs="黑体"/>
          <w:color w:val="000000"/>
          <w:highlight w:val="none"/>
        </w:rPr>
      </w:pPr>
      <w:r>
        <w:rPr>
          <w:rFonts w:hint="eastAsia" w:ascii="黑体" w:hAnsi="黑体" w:eastAsia="黑体" w:cs="黑体"/>
          <w:color w:val="000000"/>
          <w:highlight w:val="none"/>
        </w:rPr>
        <w:t>绩点小于“1”为不及格，记为“0”。</w:t>
      </w:r>
    </w:p>
    <w:p w14:paraId="6CD08CC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第二十七条 “平均学分绩点(GPA)”作为学生学业水平的综合评价指标，计算公式为：</w:t>
      </w:r>
    </w:p>
    <w:p w14:paraId="7B6CB105">
      <w:pPr>
        <w:ind w:firstLine="2100" w:firstLineChars="1000"/>
        <w:rPr>
          <w:rFonts w:hint="eastAsia" w:ascii="黑体" w:hAnsi="黑体" w:eastAsia="黑体" w:cs="黑体"/>
          <w:color w:val="000000"/>
          <w:highlight w:val="none"/>
        </w:rPr>
      </w:pPr>
      <w:r>
        <w:rPr>
          <w:rFonts w:hint="eastAsia" w:ascii="黑体" w:hAnsi="黑体" w:eastAsia="黑体" w:cs="黑体"/>
          <w:color w:val="000000"/>
          <w:highlight w:val="none"/>
        </w:rPr>
        <w:t>∑(课程绩点×课程规定学分)</w:t>
      </w:r>
    </w:p>
    <w:p w14:paraId="14B1E8B1">
      <w:pPr>
        <w:ind w:firstLine="1050" w:firstLineChars="500"/>
        <w:rPr>
          <w:rFonts w:hint="eastAsia" w:ascii="黑体" w:hAnsi="黑体" w:eastAsia="黑体" w:cs="黑体"/>
          <w:color w:val="000000"/>
          <w:highlight w:val="none"/>
        </w:rPr>
      </w:pPr>
      <w:r>
        <w:rPr>
          <w:rFonts w:hint="eastAsia" w:ascii="黑体" w:hAnsi="黑体" w:eastAsia="黑体" w:cs="黑体"/>
          <w:color w:val="000000"/>
          <w:highlight w:val="none"/>
        </w:rPr>
        <w:t>GPA =  ————————————————</w:t>
      </w:r>
    </w:p>
    <w:p w14:paraId="5A44AAC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              </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 xml:space="preserve">  ∑课程规定学分</w:t>
      </w:r>
    </w:p>
    <w:p w14:paraId="75C077A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第二十八条 初修课程成绩和学分绩点为学生参评奖助学金、推荐免试研究生资格的依据。补考、重修课程成绩和学分绩点可作为学生毕业、取得学位、出国留学、访学等的依据，记入学生学籍档案。</w:t>
      </w:r>
    </w:p>
    <w:p w14:paraId="1868E462">
      <w:pPr>
        <w:ind w:firstLine="420" w:firstLineChars="200"/>
        <w:jc w:val="center"/>
        <w:rPr>
          <w:rFonts w:hint="eastAsia" w:ascii="黑体" w:hAnsi="黑体" w:eastAsia="黑体" w:cs="黑体"/>
          <w:color w:val="000000"/>
          <w:highlight w:val="none"/>
        </w:rPr>
      </w:pPr>
    </w:p>
    <w:p w14:paraId="7401D202">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第五章</w:t>
      </w:r>
      <w:r>
        <w:rPr>
          <w:rFonts w:hint="eastAsia" w:ascii="黑体" w:hAnsi="黑体" w:eastAsia="黑体" w:cs="黑体"/>
          <w:color w:val="000000"/>
          <w:highlight w:val="none"/>
        </w:rPr>
        <w:tab/>
      </w:r>
      <w:r>
        <w:rPr>
          <w:rFonts w:hint="eastAsia" w:ascii="黑体" w:hAnsi="黑体" w:eastAsia="黑体" w:cs="黑体"/>
          <w:color w:val="000000"/>
          <w:highlight w:val="none"/>
        </w:rPr>
        <w:t>补考、缓考和重修</w:t>
      </w:r>
    </w:p>
    <w:p w14:paraId="44883C3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第二十九条 针对初修课程总评成绩不及格的学生，学校于下一学期开学初安排一次所修课程期末考核的补考。补考后总评成绩 70 分以下者，如实记入学籍档案；70 分及以上者，一律记为 70 分。</w:t>
      </w:r>
    </w:p>
    <w:p w14:paraId="597A1B5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存在下列情况之一者，不能参加补考，需重修所学课程，取得课程成绩和学分。</w:t>
      </w:r>
    </w:p>
    <w:p w14:paraId="149E0C0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(一)在正常课程考核中有违纪、作弊行为或无故缺考者。</w:t>
      </w:r>
    </w:p>
    <w:p w14:paraId="31AFD9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(二)期末考试总评成绩低于30分者。</w:t>
      </w:r>
    </w:p>
    <w:p w14:paraId="7F460F7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(三)被取消考试资格者。</w:t>
      </w:r>
    </w:p>
    <w:p w14:paraId="12CA98E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(四)实践类课程不及格者。</w:t>
      </w:r>
    </w:p>
    <w:p w14:paraId="4D85308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(五)PBL、CBL 等案例课程</w:t>
      </w:r>
      <w:r>
        <w:rPr>
          <w:rFonts w:hint="eastAsia" w:ascii="黑体" w:hAnsi="黑体" w:eastAsia="黑体" w:cs="黑体"/>
          <w:color w:val="000000"/>
          <w:highlight w:val="none"/>
          <w:lang w:val="en-US" w:eastAsia="zh-CN"/>
        </w:rPr>
        <w:t>过程性考核</w:t>
      </w:r>
      <w:r>
        <w:rPr>
          <w:rFonts w:hint="eastAsia" w:ascii="黑体" w:hAnsi="黑体" w:eastAsia="黑体" w:cs="黑体"/>
          <w:color w:val="000000"/>
          <w:highlight w:val="none"/>
        </w:rPr>
        <w:t>不及格者。</w:t>
      </w:r>
    </w:p>
    <w:p w14:paraId="764E49C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第三十条 一般重修只能参加期末考核，是否参加期中考试等过程考核由学系或教研室决定，如需提高过程考核成绩需跟班重修，即必须跟相同专业低年级同学随堂听课并参加低年级的考试。</w:t>
      </w:r>
    </w:p>
    <w:p w14:paraId="6712BA3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第三十一条 学生因疾病、特殊情况等不可抗力因素不能按时参加期末考试时，可申请缓考，过程考核无缓考，如学生因故不能参加过程考核，由学系或教研室安排并决定其成绩折算方式。</w:t>
      </w:r>
    </w:p>
    <w:p w14:paraId="4333AEA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(一)申请缓考者向所在学院申请，所在学院同意，经教务处审批办理缓考手续。缓考者可参加下学期开学初补考(最高以70 分计)，或以重修形式(免费)参加下一学年低年级同专业的该门课程考试(以实际成绩录入)。</w:t>
      </w:r>
    </w:p>
    <w:p w14:paraId="6EDC6AD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以重修形式缓考的同学，可保留原过程考核成绩，待期末考核成绩评定后，与过程考核成绩合计为课程总评成绩。若低年级同专业该门课程考试形式、成绩比例分项等有所调整，由学系或教研室决定其成绩折算方式。</w:t>
      </w:r>
    </w:p>
    <w:p w14:paraId="551EAFB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(三)补考不予缓考。</w:t>
      </w:r>
    </w:p>
    <w:p w14:paraId="19DD501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第三十二条 必修课程初修总评成绩不及格，且不被允许参加补考者，或补考不及格者，或需要提高课程成绩者，可申请重修课程，重修考试成绩如实、完整记载，补考、重修成绩在成绩单中予以标记。</w:t>
      </w:r>
    </w:p>
    <w:p w14:paraId="548EDE30">
      <w:pPr>
        <w:ind w:firstLine="420" w:firstLineChars="200"/>
        <w:rPr>
          <w:rFonts w:hint="eastAsia" w:ascii="黑体" w:hAnsi="黑体" w:eastAsia="黑体" w:cs="黑体"/>
          <w:color w:val="000000"/>
          <w:highlight w:val="none"/>
        </w:rPr>
      </w:pPr>
    </w:p>
    <w:p w14:paraId="2AADEB56">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第六章</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 xml:space="preserve"> 考试命题</w:t>
      </w:r>
    </w:p>
    <w:p w14:paraId="24AFCD7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第三十三条 命题小组承担课程考试命题工作，命题小组由课程负责人或学系(教研室)负责人担任组长。命题小组应由教学经验丰富、学术水平较高并且长期担任教学工作的 2-3 位教师组成。</w:t>
      </w:r>
    </w:p>
    <w:p w14:paraId="01936C1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第三十四条 考试命题内容、范围和要求应以课程教学大纲规定的知识内容、能力培养和相应的教学目标层次要求为依据，全面考查学生对基础知识、基本理论、基本技能的识记、理解、应用、分析、评价和创造等情况，重点考查学生知识转化应用与分析问题、解决问题的能力。</w:t>
      </w:r>
    </w:p>
    <w:p w14:paraId="39ED54A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第三十五条 考试命题应遵循以下基本原则要求：</w:t>
      </w:r>
    </w:p>
    <w:p w14:paraId="5740F9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(一)命题框架方案。依据“方案双向明细表”制定命题框架方案，包括试卷考核的知识点、题型、认知层次、大纲要求层次等内容及分值分配等。</w:t>
      </w:r>
    </w:p>
    <w:p w14:paraId="48C14EA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(二)试题内容要求。试题要尽可能覆盖教学大纲要求的所有内容，原则上应达到教学大纲内容的 70％以上。卷面上，“掌握”部分应占考核内容的 60％-70％，“熟悉”占 20％-30％，“了解”或“超纲”不超过10％。</w:t>
      </w:r>
    </w:p>
    <w:p w14:paraId="3FF8551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(三)认知层次要求。原则上，试题中考查学生记忆(识记)层次分值比例不超过30％，理解、应用、分析、评价等中、高阶认知层次的比例不低于60％。</w:t>
      </w:r>
    </w:p>
    <w:p w14:paraId="2C55A43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(四)考试题型要求。考题题型应包括客观题(如 A1、A2、A3、A4、B 型题等)和主观题(如计算题、简答题、论述题、案例分析题等)，原则上客观题题量与分值不低于50％。凡国家执业(从业)资格考试涉及的课程，应组织实施理论考试，考题题型应涵盖但不局限于执业(从业)资格考试的全部类型，客观题题量不低于 60％。</w:t>
      </w:r>
    </w:p>
    <w:p w14:paraId="6069B6C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五)答案标准要求。考核试题应配套相应的“参考答案和评分标准”。其中，填空题、选择题、判断题等客观题的答案，须做到答题标准“唯一”；计算题、简答题、论述题、分析题等主观题的“参考答案和评分标准”应明确列出答题要点和关键得分点，不得以“略”等模糊词语替代。</w:t>
      </w:r>
    </w:p>
    <w:p w14:paraId="124588D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(六)组卷审核要求。组卷时，应遵循下列原则要求：</w:t>
      </w:r>
    </w:p>
    <w:p w14:paraId="0630C7D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1.AB卷要求。每门课程必须同时出 A、B两套试卷，满分均为100分。一份用于常规考试，另一份用于补考、缓考或重修。A、B两套试卷在知识单元、考题类型、题目数量、测试难度和分值上应当相当，且试题(原题)重复率应小于10％。</w:t>
      </w:r>
    </w:p>
    <w:p w14:paraId="7DD9610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2.难度要求。期末理论考试平均难度应控制在0.7-0.8，难、中、易试题分别约占 20％、30％、50％。</w:t>
      </w:r>
    </w:p>
    <w:p w14:paraId="5B046B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编辑要求。选题组卷应由易到难，循序渐进，形成梯度；先客观题，后主观题；先容易题，后复杂题；先低阶题，后高阶题。命题要求概念清楚、措辞准确，文字、图表以及符号要清晰、完整，试题赋分合理、准确。试卷清样排版规范、字迹清楚、内容完整。</w:t>
      </w:r>
    </w:p>
    <w:p w14:paraId="06EC5B6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4.审核要求。组卷完成后，由命题小组组长对试卷进行审核，并从A、B 两套试卷中随机抽取其一作为考试试卷。</w:t>
      </w:r>
    </w:p>
    <w:p w14:paraId="65C0821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5.格式要求。采用学校统一规定的试卷格式和要求组卷制卷。</w:t>
      </w:r>
    </w:p>
    <w:p w14:paraId="5FD6A66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6.质控要求。三年内重复使用的试题(原题)分值不得超过 试卷总分值的 10％。</w:t>
      </w:r>
    </w:p>
    <w:p w14:paraId="0527517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第三十六条 必修课程考试试卷由教务处文印中心负责统一印制。试卷印制由专人负责，实行严格的试卷交接登记制度，整个过程的不同环节均实行责任人签名负责制，完成印刷及装订任务，并确保试卷质量和安全。</w:t>
      </w:r>
    </w:p>
    <w:p w14:paraId="5F15351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第三十七条 各学系(教研室)应指派教师根据考试时间，提前 3-10 个工作日将试卷清样交至文印中心，并按约定时间取卷，取卷时应清点数量并抽取一定数量的试卷校对。</w:t>
      </w:r>
    </w:p>
    <w:p w14:paraId="5CFA74B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第三十八条 各开课单位应通过自编、购买或引进等方式组建所承担的课程题库，并持续修改完善、补充更新。课程题库建设应符合学校相关规定要求。</w:t>
      </w:r>
    </w:p>
    <w:p w14:paraId="537E0844">
      <w:pPr>
        <w:ind w:firstLine="420" w:firstLineChars="200"/>
        <w:rPr>
          <w:rFonts w:hint="eastAsia" w:ascii="黑体" w:hAnsi="黑体" w:eastAsia="黑体" w:cs="黑体"/>
          <w:color w:val="000000"/>
          <w:highlight w:val="none"/>
        </w:rPr>
      </w:pPr>
    </w:p>
    <w:p w14:paraId="29B0FDEE">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第七章</w:t>
      </w:r>
      <w:r>
        <w:rPr>
          <w:rFonts w:hint="eastAsia" w:ascii="黑体" w:hAnsi="黑体" w:eastAsia="黑体" w:cs="黑体"/>
          <w:color w:val="000000"/>
          <w:highlight w:val="none"/>
        </w:rPr>
        <w:tab/>
      </w:r>
      <w:r>
        <w:rPr>
          <w:rFonts w:hint="eastAsia" w:ascii="黑体" w:hAnsi="黑体" w:eastAsia="黑体" w:cs="黑体"/>
          <w:color w:val="000000"/>
          <w:highlight w:val="none"/>
        </w:rPr>
        <w:t>监考巡考</w:t>
      </w:r>
    </w:p>
    <w:p w14:paraId="14FD52D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第三十九条 监考工作是课程考试规范有序进行的重要保证。各学院要认真做好监考人员的培训工作，提高监考人员的考试管理责任意识，确保监考人员熟悉考场纪律及监考职责，规范考场管理，严肃考场纪律，维护考试有序、公平、公正。同时，学院要对监考人员履职情况进行巡查，严抓考风考纪。</w:t>
      </w:r>
    </w:p>
    <w:p w14:paraId="4501A47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第四十条 每个考场须按要求配齐监考人员。监考人员配置要求：大于等于70名考生的考场安排3名监考人员，小于70名考生的考场安排不少于2名监考人员，其中每个考场设主考一名，主考必须为学校教职工担任。计算机化考试考场要求每个机房安排 2 名监考人员。</w:t>
      </w:r>
    </w:p>
    <w:p w14:paraId="534A551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第四十一条 监考人员有特殊原因不能参加监考，不得擅自更换，应至少在考试前一天向学院或学系(教研室)请假，由学院或学系(教研室)按照监考规定统一调配安排熟悉监考业务的人员替换。</w:t>
      </w:r>
    </w:p>
    <w:p w14:paraId="74ABC6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第四十二条 学校建立校、院两级巡考工作制度，切实加强课程考试的巡视督导工作。</w:t>
      </w:r>
    </w:p>
    <w:p w14:paraId="58F3B51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第四十三条 校级巡考组由教务处、学生工作处等组成，负责全校课程考试的巡视。学院要成立专门巡考小组，组长、副组长由学院领导担任，巡考小组成员由教学管理人员、辅导员等组成，负责相关课程考试的巡查。</w:t>
      </w:r>
    </w:p>
    <w:p w14:paraId="5FA3CBC4">
      <w:pPr>
        <w:ind w:firstLine="420" w:firstLineChars="200"/>
        <w:rPr>
          <w:rFonts w:hint="eastAsia" w:ascii="黑体" w:hAnsi="黑体" w:eastAsia="黑体" w:cs="黑体"/>
          <w:color w:val="000000"/>
          <w:highlight w:val="none"/>
        </w:rPr>
      </w:pPr>
    </w:p>
    <w:p w14:paraId="79601299">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第八章</w:t>
      </w:r>
      <w:r>
        <w:rPr>
          <w:rFonts w:hint="eastAsia" w:ascii="黑体" w:hAnsi="黑体" w:eastAsia="黑体" w:cs="黑体"/>
          <w:color w:val="000000"/>
          <w:highlight w:val="none"/>
        </w:rPr>
        <w:tab/>
      </w:r>
      <w:r>
        <w:rPr>
          <w:rFonts w:hint="eastAsia" w:ascii="黑体" w:hAnsi="黑体" w:eastAsia="黑体" w:cs="黑体"/>
          <w:color w:val="000000"/>
          <w:highlight w:val="none"/>
        </w:rPr>
        <w:t>阅卷评分</w:t>
      </w:r>
    </w:p>
    <w:p w14:paraId="1C54684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第四十四条 考试课程全部实行集中阅卷评分，应在学院统一领导下，由课程负责人组织实施，应组成阅卷小组，并设立临时阅卷室，非阅卷人员不得进入阅卷场所。</w:t>
      </w:r>
    </w:p>
    <w:p w14:paraId="2294577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第四十五条 阅卷评分登分工作要求考试结束后一周内完成。采取分题、定人、流水作业的阅卷方式，参加阅卷的教师要按照标准答案及评分标准进行评分，并在自己所评定的试卷上签名以示负责。要严格把好评分、核分、登分及改分等环节的质量关，务必做到公正、准确、客观、真实，如有更改分数，更改处要有更改教师签名。对不及格的试卷要求核对至少两次。学系(教研室)的错判卷不得超过1％。</w:t>
      </w:r>
    </w:p>
    <w:p w14:paraId="4FDF7CE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第四十六条 如发现雷同卷或其他问题要立即向课程负责人报告，认真进行核查，并将处理意见报学院和教务处。</w:t>
      </w:r>
    </w:p>
    <w:p w14:paraId="08E3D06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第四十七条 由于某种原因，导致成绩分布不合理而必须做适当处理时，须经学院主管教学院长同意，并书面报告教务处批准后，方可进行成绩标准化处理，但不得随意加分和减分。</w:t>
      </w:r>
    </w:p>
    <w:p w14:paraId="18680B3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第四十八条 必修课成绩按百分制记载，选修课成绩可按二级制或五级制记载。对于包含阶段性考试的课程，根据阶段性考试和期末考试所占的比重进行百分制计分，并于考试结束后7天内网上提交和公布成绩。</w:t>
      </w:r>
    </w:p>
    <w:p w14:paraId="0968BBE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第四十九条 纸质成绩单一式三份，经学系(教研室)、学院审核签字并加盖公章后，于考试结束后7天内一份报送教务处，一份交学院教务办，一份学系(教研室)留存。</w:t>
      </w:r>
    </w:p>
    <w:p w14:paraId="02011281">
      <w:pPr>
        <w:ind w:firstLine="420" w:firstLineChars="200"/>
        <w:rPr>
          <w:rFonts w:hint="eastAsia" w:ascii="黑体" w:hAnsi="黑体" w:eastAsia="黑体" w:cs="黑体"/>
          <w:color w:val="000000"/>
          <w:highlight w:val="none"/>
        </w:rPr>
      </w:pPr>
    </w:p>
    <w:p w14:paraId="5F03A382">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第九章</w:t>
      </w:r>
      <w:r>
        <w:rPr>
          <w:rFonts w:hint="eastAsia" w:ascii="黑体" w:hAnsi="黑体" w:eastAsia="黑体" w:cs="黑体"/>
          <w:color w:val="000000"/>
          <w:highlight w:val="none"/>
        </w:rPr>
        <w:tab/>
      </w:r>
      <w:r>
        <w:rPr>
          <w:rFonts w:hint="eastAsia" w:ascii="黑体" w:hAnsi="黑体" w:eastAsia="黑体" w:cs="黑体"/>
          <w:color w:val="000000"/>
          <w:highlight w:val="none"/>
        </w:rPr>
        <w:t>分析与反馈</w:t>
      </w:r>
    </w:p>
    <w:p w14:paraId="1022155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第五十条 开课单位应将过程考核、期末考核结果作为检测与诊断“教”“学”过程和成效的主要依据，强化考核结果的分析与反馈，变“总结性评价”为“形成性评价”，充分发挥课程考核的激励与导向作用，促进学生自主学习，促进教学质量持续改进。</w:t>
      </w:r>
    </w:p>
    <w:p w14:paraId="306729E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过程性考核结果应及时向学生反馈。任课教师应将学生课程作业、学习表现和阶段考试情况，通过作业批改、考勤通报、成绩公布、提问与应答、课堂口头表扬、批评或建议等多种形式向学生反馈，学生应答、反思和改进情况可作为过程考核成绩的依据。原则上，应在课程期末考试前完成过程考核成绩评定和反馈，并形成书面材料。</w:t>
      </w:r>
    </w:p>
    <w:p w14:paraId="5DB2CEC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(二)期末考试结果、课程总评成绩应及时总结、分析并反馈。</w:t>
      </w:r>
    </w:p>
    <w:p w14:paraId="356C5E5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第五十一条 期末考试成绩与试卷分析的主要内容包括：</w:t>
      </w:r>
    </w:p>
    <w:p w14:paraId="42883CC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(一)命题设计分析。包括考核目标设计，重点分析识记、理解和应用等的比重；题型及其分值；预期难度设定；试卷成绩占本门课程成绩的比重。</w:t>
      </w:r>
    </w:p>
    <w:p w14:paraId="3603020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(二)学生成绩分析。包括学生成绩分布、均分、标准差、变异系数、最高分、最低分等教育测量学指标分析，以及不及格比例大于15％的原因分析和优秀比例大于15％的原因分析。</w:t>
      </w:r>
    </w:p>
    <w:p w14:paraId="506AF5D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试题试卷分析。包括考试结果是否与命题设计的预期相符，如不符合，分析原因；结合教学大纲，分析考试内容难度与教学大纲和考核标准的符合程度，并分析原因。并重点对学生失分较多和失分较少的题目进行原因分析。</w:t>
      </w:r>
    </w:p>
    <w:p w14:paraId="5048621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四)改进措施分析。根据考试情况，总结“教”“学”及命题、阅卷、评分过程中存在的问题，并提出：今后命题中，应注意哪些问题，如何改进；今后教学中，需注意哪些问题，如何改进；学生在本门课程学习中，需要教师哪些方面的引导和指导。 </w:t>
      </w:r>
    </w:p>
    <w:p w14:paraId="4F9DD13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第五十二条 考试成绩、试卷分析结果应通过不同途径向学生、教师和管理部门进行反馈。各教学管理部门和学系(教研室)需根据反馈情况，总结教学、命题、阅卷、评分等过程中存在的问题，并提出整改方案，落实整改措施，追踪整改成效。</w:t>
      </w:r>
    </w:p>
    <w:p w14:paraId="5FF3C836">
      <w:pPr>
        <w:ind w:firstLine="420" w:firstLineChars="200"/>
        <w:rPr>
          <w:rFonts w:hint="eastAsia" w:ascii="黑体" w:hAnsi="黑体" w:eastAsia="黑体" w:cs="黑体"/>
          <w:color w:val="000000"/>
          <w:highlight w:val="none"/>
        </w:rPr>
      </w:pPr>
    </w:p>
    <w:p w14:paraId="2263040E">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第十章</w:t>
      </w:r>
      <w:r>
        <w:rPr>
          <w:rFonts w:hint="eastAsia" w:ascii="黑体" w:hAnsi="黑体" w:eastAsia="黑体" w:cs="黑体"/>
          <w:color w:val="000000"/>
          <w:highlight w:val="none"/>
        </w:rPr>
        <w:tab/>
      </w:r>
      <w:r>
        <w:rPr>
          <w:rFonts w:hint="eastAsia" w:ascii="黑体" w:hAnsi="黑体" w:eastAsia="黑体" w:cs="黑体"/>
          <w:color w:val="000000"/>
          <w:highlight w:val="none"/>
        </w:rPr>
        <w:t>试卷归档管理</w:t>
      </w:r>
    </w:p>
    <w:p w14:paraId="48B7F5D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第五十三条 阅卷评分工作结束后，立即按教务处统一要求对试卷(包括空白卷)进行装订、封存、归档，并交至学院或学系(教研室)试卷存放库统一保管。</w:t>
      </w:r>
    </w:p>
    <w:p w14:paraId="36683CE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第五十四条 考生毕业后满5年，可由学系(教研室)指定专人对试卷进行保密销毁。</w:t>
      </w:r>
    </w:p>
    <w:p w14:paraId="3C8343A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第五十五条 考生如对分数有异议，可在成绩公布后的一周内提出核查申请，各教学承担单位应于开学前完成成绩复核工作。学生向课程承担部门提出申请核查成绩，批准后由课程开设部门教务办或教务员负责组织审阅试卷，学系(教研室)不得接待学生个人查分。若成绩确有出入，学系(教研室)应写出书面的更改分数原因，同时附上更改分数的试卷，经课程负责人、学院分管教学院长或部门负责人签署意见后，报教务处审查。新学期开学后，不再受理上一学期的分数核查申请。</w:t>
      </w:r>
    </w:p>
    <w:p w14:paraId="3957E9F3">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第十一章</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考风考纪</w:t>
      </w:r>
    </w:p>
    <w:p w14:paraId="7B630F3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第五十六条 学校各级教学单位应认真贯彻落实立德树人根本任务，切实做好考风考纪建设，以良好考风促进优良学风和校风的形成。</w:t>
      </w:r>
    </w:p>
    <w:p w14:paraId="5C966EA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第五十七条 学院应在考试集中期，专门召开全院学生考试诚信教育会或开展主题教育活动，有效加强学生诚信考试教育，端正考风，严明考纪，营造公平竞争考试环境，抵制考试违纪、作弊等不良风气。</w:t>
      </w:r>
    </w:p>
    <w:p w14:paraId="4B5299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第五十八条 课程考试中发生违纪、作弊情况，监考人员应立即中止该学生的考试，没收试卷，保留证据(材料、工具等)，如实详细记录违纪、作弊情况，及时上报教务处，不得隐瞒或私自处理。</w:t>
      </w:r>
    </w:p>
    <w:p w14:paraId="2D95DEE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第五十九条 教务处对考试违纪、作弊学生，学院应视违规情节及时启动处理程序，严格按照学校相关考试管理规定做出处理。</w:t>
      </w:r>
    </w:p>
    <w:p w14:paraId="514A0055">
      <w:pPr>
        <w:ind w:firstLine="420" w:firstLineChars="200"/>
        <w:jc w:val="center"/>
        <w:rPr>
          <w:rFonts w:hint="eastAsia" w:ascii="黑体" w:hAnsi="黑体" w:eastAsia="黑体" w:cs="黑体"/>
          <w:color w:val="000000"/>
          <w:highlight w:val="none"/>
        </w:rPr>
      </w:pPr>
    </w:p>
    <w:p w14:paraId="60FE7320">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第十二章</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安全保密</w:t>
      </w:r>
    </w:p>
    <w:p w14:paraId="099351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第六十条 课程考试试卷及相关材料属学校机密。涉密人员必须严格遵守保密制度和保密纪律，按时保质保量完成命题组卷、试卷印制、上传任务、试卷运送、保管、分发及领取交接、阅卷评分登分等，相关人员要严格规范按照保密规定和程序履行职责。某课程考试有直系亲属学生在本校学习的人员要主动申请回避，不得接触与该课程考试有关的工作。</w:t>
      </w:r>
    </w:p>
    <w:p w14:paraId="61903E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第六十一条 命题小组成员须保密各种形式的试卷文档，不得参加学生答疑，任何人不得暗示及透露试题内容，如有发生泄密，视情节轻重根据国家及学校相关规定给予责任人相应处理。 </w:t>
      </w:r>
    </w:p>
    <w:p w14:paraId="51F3D10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第六十二条 考试主考教师负责试卷的文印与导入，如采用笔试，于开考前 3-10 个工作日将纸质样卷送至教务处文印室进行印刷，不得委托命题小组以外成员代送，并由本人按时领取交接；如采用机考，于开考前 3-7 个工作日将电子样卷送至教务处考试中心，上传至在线考试系统。</w:t>
      </w:r>
    </w:p>
    <w:p w14:paraId="587B4FF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第六十三条 对考试组织实施中出现试题泄露，试卷损毁、失窃及倒卖考试信息等情形，视情节轻重根据国家及学校相关规定给予责任人相应处理。</w:t>
      </w:r>
    </w:p>
    <w:p w14:paraId="26FEE8EB">
      <w:pPr>
        <w:ind w:firstLine="420" w:firstLineChars="200"/>
        <w:rPr>
          <w:rFonts w:hint="eastAsia" w:ascii="黑体" w:hAnsi="黑体" w:eastAsia="黑体" w:cs="黑体"/>
          <w:color w:val="000000"/>
          <w:highlight w:val="none"/>
        </w:rPr>
      </w:pPr>
    </w:p>
    <w:p w14:paraId="12BDE9E7">
      <w:pPr>
        <w:ind w:firstLine="420" w:firstLineChars="200"/>
        <w:jc w:val="center"/>
        <w:rPr>
          <w:rFonts w:hint="eastAsia" w:ascii="黑体" w:hAnsi="黑体" w:eastAsia="黑体" w:cs="黑体"/>
          <w:color w:val="000000"/>
          <w:highlight w:val="none"/>
        </w:rPr>
      </w:pPr>
      <w:r>
        <w:rPr>
          <w:rFonts w:hint="eastAsia" w:ascii="黑体" w:hAnsi="黑体" w:eastAsia="黑体" w:cs="黑体"/>
          <w:color w:val="000000"/>
          <w:highlight w:val="none"/>
        </w:rPr>
        <w:t>第十三章</w:t>
      </w:r>
      <w:r>
        <w:rPr>
          <w:rFonts w:hint="eastAsia" w:ascii="黑体" w:hAnsi="黑体" w:eastAsia="黑体" w:cs="黑体"/>
          <w:color w:val="000000"/>
          <w:highlight w:val="none"/>
          <w:lang w:val="en-US" w:eastAsia="zh-CN"/>
        </w:rPr>
        <w:t xml:space="preserve">  </w:t>
      </w:r>
      <w:r>
        <w:rPr>
          <w:rFonts w:hint="eastAsia" w:ascii="黑体" w:hAnsi="黑体" w:eastAsia="黑体" w:cs="黑体"/>
          <w:color w:val="000000"/>
          <w:highlight w:val="none"/>
        </w:rPr>
        <w:t>附则</w:t>
      </w:r>
    </w:p>
    <w:p w14:paraId="74498D1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第六十四条 由教育主管机构组织的全国性、区域性考试(如英语四、六级考试、计算机等级考试等)，相关单位要严格按照上级文件要求组织实施。</w:t>
      </w:r>
    </w:p>
    <w:p w14:paraId="5899FAC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第六十五条 本办法自公布之日起实施。学校其他相关规定与本规定不一致的，以本规定为准。</w:t>
      </w:r>
    </w:p>
    <w:p w14:paraId="0126D2D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第六十六条 本规定由教务处负责解释。</w:t>
      </w:r>
    </w:p>
    <w:p w14:paraId="6F75B193">
      <w:pPr>
        <w:ind w:firstLine="420" w:firstLineChars="200"/>
        <w:rPr>
          <w:rFonts w:hint="eastAsia" w:ascii="黑体" w:hAnsi="黑体" w:eastAsia="黑体" w:cs="黑体"/>
          <w:color w:val="000000"/>
          <w:highlight w:val="none"/>
        </w:rPr>
      </w:pPr>
    </w:p>
    <w:p w14:paraId="070C2B52">
      <w:pPr>
        <w:ind w:firstLine="420" w:firstLineChars="200"/>
        <w:rPr>
          <w:rFonts w:hint="eastAsia" w:ascii="黑体" w:hAnsi="黑体" w:eastAsia="黑体" w:cs="黑体"/>
          <w:color w:val="000000"/>
          <w:highlight w:val="none"/>
        </w:rPr>
      </w:pPr>
    </w:p>
    <w:p w14:paraId="2AD80294">
      <w:pPr>
        <w:ind w:firstLine="420" w:firstLineChars="200"/>
        <w:rPr>
          <w:rFonts w:hint="eastAsia" w:ascii="黑体" w:hAnsi="黑体" w:eastAsia="黑体" w:cs="黑体"/>
          <w:color w:val="000000"/>
          <w:highlight w:val="none"/>
        </w:rPr>
      </w:pPr>
    </w:p>
    <w:p w14:paraId="2FD060A4">
      <w:pPr>
        <w:ind w:firstLine="420" w:firstLineChars="200"/>
        <w:rPr>
          <w:rFonts w:hint="eastAsia" w:ascii="黑体" w:hAnsi="黑体" w:eastAsia="黑体" w:cs="黑体"/>
          <w:color w:val="000000"/>
          <w:highlight w:val="none"/>
        </w:rPr>
      </w:pPr>
    </w:p>
    <w:p w14:paraId="19AD3B82">
      <w:pPr>
        <w:ind w:firstLine="420" w:firstLineChars="200"/>
        <w:rPr>
          <w:rFonts w:hint="eastAsia" w:ascii="黑体" w:hAnsi="黑体" w:eastAsia="黑体" w:cs="黑体"/>
          <w:color w:val="000000"/>
          <w:highlight w:val="none"/>
        </w:rPr>
      </w:pPr>
    </w:p>
    <w:p w14:paraId="7A3143A0">
      <w:pPr>
        <w:ind w:firstLine="420" w:firstLineChars="200"/>
        <w:rPr>
          <w:rFonts w:hint="eastAsia" w:ascii="黑体" w:hAnsi="黑体" w:eastAsia="黑体" w:cs="黑体"/>
          <w:color w:val="000000"/>
          <w:highlight w:val="none"/>
        </w:rPr>
      </w:pPr>
    </w:p>
    <w:p w14:paraId="41DC1806">
      <w:pPr>
        <w:ind w:firstLine="420" w:firstLineChars="200"/>
        <w:rPr>
          <w:rFonts w:hint="eastAsia" w:ascii="黑体" w:hAnsi="黑体" w:eastAsia="黑体" w:cs="黑体"/>
          <w:color w:val="000000"/>
          <w:highlight w:val="none"/>
        </w:rPr>
      </w:pPr>
    </w:p>
    <w:p w14:paraId="537B8703">
      <w:pPr>
        <w:ind w:firstLine="420" w:firstLineChars="200"/>
        <w:rPr>
          <w:rFonts w:hint="eastAsia" w:ascii="黑体" w:hAnsi="黑体" w:eastAsia="黑体" w:cs="黑体"/>
          <w:color w:val="000000"/>
          <w:highlight w:val="none"/>
        </w:rPr>
      </w:pPr>
    </w:p>
    <w:p w14:paraId="5BDCE6F6">
      <w:pPr>
        <w:ind w:firstLine="420" w:firstLineChars="200"/>
        <w:rPr>
          <w:rFonts w:hint="eastAsia" w:ascii="黑体" w:hAnsi="黑体" w:eastAsia="黑体" w:cs="黑体"/>
          <w:color w:val="000000"/>
          <w:highlight w:val="none"/>
        </w:rPr>
      </w:pPr>
    </w:p>
    <w:p w14:paraId="6FFE5B32">
      <w:pPr>
        <w:ind w:firstLine="420" w:firstLineChars="200"/>
        <w:rPr>
          <w:rFonts w:hint="eastAsia" w:ascii="黑体" w:hAnsi="黑体" w:eastAsia="黑体" w:cs="黑体"/>
          <w:color w:val="000000"/>
          <w:highlight w:val="none"/>
        </w:rPr>
      </w:pPr>
    </w:p>
    <w:p w14:paraId="24285BFD">
      <w:pPr>
        <w:ind w:firstLine="375" w:firstLineChars="179"/>
        <w:jc w:val="center"/>
        <w:rPr>
          <w:rFonts w:hint="eastAsia" w:ascii="黑体" w:hAnsi="黑体" w:eastAsia="黑体" w:cs="黑体"/>
          <w:color w:val="000000"/>
          <w:highlight w:val="none"/>
        </w:rPr>
      </w:pPr>
      <w:r>
        <w:rPr>
          <w:rFonts w:hint="eastAsia" w:ascii="黑体" w:hAnsi="黑体" w:eastAsia="黑体" w:cs="黑体"/>
          <w:color w:val="000000"/>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 xml:space="preserve">  南京医科大学理论考试监考守则</w:t>
      </w:r>
    </w:p>
    <w:p w14:paraId="089D65A6">
      <w:pPr>
        <w:ind w:firstLine="375" w:firstLineChars="179"/>
        <w:rPr>
          <w:rFonts w:hint="eastAsia" w:ascii="黑体" w:hAnsi="黑体" w:eastAsia="黑体" w:cs="黑体"/>
          <w:color w:val="000000"/>
          <w:highlight w:val="none"/>
        </w:rPr>
      </w:pPr>
    </w:p>
    <w:p w14:paraId="238A3A68">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一、监考人员应忠于职守，不得擅自离开考场，不得在考场内吸烟，不得阅读书报、聊天、玩手机，不得接待客人，不准抄题、做题，不得将试卷传出考场，严格执行考场纪律，保证考试工作顺利进行。</w:t>
      </w:r>
    </w:p>
    <w:p w14:paraId="4A896900">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二、监考人员应佩戴“监考证”，于考试前15分钟进入考场，循环播放《南京医科大学考场纪律守则》，在黑板上写明考试科目、考试时间等信息。清查考场，检查、督促学生将书包、书籍、笔记本、手机及其他电子存储设备等放在指定地点，不得带入考试座位；将桌面、抽屉内物品清理干净，检查桌面有无与考试内容有关的文字、公式并予以清除；桌面上只能留有考生学生证、校园卡、身份证、准考证，必要的文具、透明笔袋和按规定携带的工具。监考人员如对考试座位表有异议，可现场调整考生座位。逐一查验学生有效身份证件(学生证或校园卡或身份证)。认真核对试卷数量并按时发放试卷。对不执行考场规定的学生，有权令其退出考场并取消考试资格。</w:t>
      </w:r>
    </w:p>
    <w:p w14:paraId="2675282C">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三、开考 15 分钟后，监考人员组织考生逐一签到，并禁止迟到考生进入考场。</w:t>
      </w:r>
    </w:p>
    <w:p w14:paraId="005CF82A">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四、监考人员对试题内容不得作任何解释，如遇试题印刷不清楚、试题装订错误、计算机故障等情况时，可予更换试卷或机位，但不得启发学生，不得与学生攀谈。</w:t>
      </w:r>
    </w:p>
    <w:p w14:paraId="5308360F">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五、加强考场巡视，指导并检查考生正确书写答卷上的有关事项。发现考生有违反考场纪律现象时，先提出口头警告，并予以制止。发现任何形式的作弊行为，监考人员有权立即停止其考试，并记录作弊情况及时向教务处报告。</w:t>
      </w:r>
    </w:p>
    <w:p w14:paraId="6BF529A8">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六、考试必须在规定时间内完成，不得擅自延长。监考人员在考前统一宣布考试时间，考试结束前 10 分钟，应提醒考生掌握答卷时间；终止时间一到即令学生停止答卷，坐在原位，笔试待收完考卷点清后，机考需确认考试数据包上传后，方可宣布考生离场。考试结束时，应认真填写《考场监考记录表》交所在学系(教研室)存档。</w:t>
      </w:r>
    </w:p>
    <w:p w14:paraId="47FB874B">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七、监考人员应阻止与考试无关人员进入考场，对不听劝阻者，应及时与教务处联系进行处理。考试中如遇考生生病等特殊情况不能坚持考试者，监考人员应立即向教务处报告。</w:t>
      </w:r>
    </w:p>
    <w:p w14:paraId="7EA1F090">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八、</w:t>
      </w:r>
      <w:r>
        <w:rPr>
          <w:rFonts w:hint="eastAsia" w:ascii="黑体" w:hAnsi="黑体" w:eastAsia="黑体" w:cs="黑体"/>
          <w:color w:val="000000"/>
          <w:highlight w:val="none"/>
          <w:lang w:val="en-US" w:eastAsia="zh-CN"/>
        </w:rPr>
        <w:t>监考人员认真填写线上、线下监考记录表，按照相关考试要求履行监考职责，</w:t>
      </w:r>
      <w:r>
        <w:rPr>
          <w:rFonts w:hint="eastAsia" w:ascii="黑体" w:hAnsi="黑体" w:eastAsia="黑体" w:cs="黑体"/>
          <w:color w:val="000000"/>
          <w:highlight w:val="none"/>
        </w:rPr>
        <w:t>监考人员如违反监考守则造成不良后果者，视情节轻重根据国家及学校相关规定给予责任人相应处理。</w:t>
      </w:r>
    </w:p>
    <w:p w14:paraId="55A65F3B">
      <w:pPr>
        <w:spacing w:line="440" w:lineRule="exact"/>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4</w:t>
      </w:r>
      <w:r>
        <w:rPr>
          <w:rFonts w:hint="eastAsia" w:ascii="黑体" w:hAnsi="黑体" w:eastAsia="黑体" w:cs="黑体"/>
          <w:color w:val="000000"/>
          <w:sz w:val="28"/>
          <w:szCs w:val="28"/>
          <w:highlight w:val="none"/>
        </w:rPr>
        <w:t xml:space="preserve">  南京医科大学理论考试巡考守则</w:t>
      </w:r>
    </w:p>
    <w:p w14:paraId="64FB21A1">
      <w:pPr>
        <w:ind w:firstLine="375" w:firstLineChars="179"/>
        <w:jc w:val="left"/>
        <w:rPr>
          <w:rFonts w:hint="eastAsia" w:ascii="黑体" w:hAnsi="黑体" w:eastAsia="黑体" w:cs="黑体"/>
          <w:color w:val="000000"/>
          <w:highlight w:val="none"/>
        </w:rPr>
      </w:pPr>
    </w:p>
    <w:p w14:paraId="7D130A47">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一、巡考人员认真履行巡考职责，佩戴“巡考证”进入考场巡视检查，进出考场或在考场内应注意不要影响学生考试。</w:t>
      </w:r>
    </w:p>
    <w:p w14:paraId="7867033B">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二、考试开始前15分钟，巡考人员应重点检查考场准备情况，包括监考人员是否按时到位、是否监考人员本人监考、考场清场是否彻底、学生是否按规定就座及考场保障情况等。对考试工作不规范的考场，巡考人员应督促监考人员及时改正。</w:t>
      </w:r>
    </w:p>
    <w:p w14:paraId="22E3584A">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三、考试开始30分钟内，巡考人员应重点巡视考场纪律，如遇监考人员迟到或提前退场，应及时与考试组织管理部门和监考人员所在部门取得联系。对在考场中做与监考无关事情等不认真履行监考职责的监考人员，应当场制止和及时纠正。</w:t>
      </w:r>
    </w:p>
    <w:p w14:paraId="45C56655">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四、巡考过程中，如遇各类突发事件，要及时通知教务处采取措施妥善解决。对巡视过程中发现的学生违纪、作弊现象要坚决予以制止，责成监考人员按程序处理，并及时报告教务处。</w:t>
      </w:r>
    </w:p>
    <w:p w14:paraId="476525ED">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五、巡考结束后，及时认真填写《南京医科大学考场巡考记录表》，并对每个考场的总体情况做出综合评价。</w:t>
      </w:r>
    </w:p>
    <w:p w14:paraId="45051C5C">
      <w:pPr>
        <w:ind w:firstLine="375" w:firstLineChars="179"/>
        <w:jc w:val="left"/>
        <w:rPr>
          <w:rFonts w:hint="eastAsia" w:ascii="黑体" w:hAnsi="黑体" w:eastAsia="黑体" w:cs="黑体"/>
          <w:color w:val="000000"/>
          <w:highlight w:val="none"/>
        </w:rPr>
      </w:pPr>
    </w:p>
    <w:p w14:paraId="0306A7C3">
      <w:pPr>
        <w:ind w:firstLine="375" w:firstLineChars="179"/>
        <w:jc w:val="left"/>
        <w:rPr>
          <w:rFonts w:hint="eastAsia" w:ascii="黑体" w:hAnsi="黑体" w:eastAsia="黑体" w:cs="黑体"/>
          <w:color w:val="000000"/>
          <w:highlight w:val="none"/>
        </w:rPr>
      </w:pPr>
    </w:p>
    <w:p w14:paraId="1125AB93">
      <w:pPr>
        <w:ind w:firstLine="375" w:firstLineChars="179"/>
        <w:jc w:val="left"/>
        <w:rPr>
          <w:rFonts w:hint="eastAsia" w:ascii="黑体" w:hAnsi="黑体" w:eastAsia="黑体" w:cs="黑体"/>
          <w:color w:val="000000"/>
          <w:highlight w:val="none"/>
        </w:rPr>
      </w:pPr>
    </w:p>
    <w:p w14:paraId="09289640">
      <w:pPr>
        <w:ind w:firstLine="375" w:firstLineChars="179"/>
        <w:jc w:val="left"/>
        <w:rPr>
          <w:rFonts w:hint="eastAsia" w:ascii="黑体" w:hAnsi="黑体" w:eastAsia="黑体" w:cs="黑体"/>
          <w:color w:val="000000"/>
          <w:highlight w:val="none"/>
        </w:rPr>
      </w:pPr>
    </w:p>
    <w:p w14:paraId="20E0E70F">
      <w:pPr>
        <w:ind w:firstLine="375" w:firstLineChars="179"/>
        <w:jc w:val="left"/>
        <w:rPr>
          <w:rFonts w:hint="eastAsia" w:ascii="黑体" w:hAnsi="黑体" w:eastAsia="黑体" w:cs="黑体"/>
          <w:color w:val="000000"/>
          <w:highlight w:val="none"/>
        </w:rPr>
      </w:pPr>
    </w:p>
    <w:p w14:paraId="1411734F">
      <w:pPr>
        <w:ind w:firstLine="375" w:firstLineChars="179"/>
        <w:jc w:val="left"/>
        <w:rPr>
          <w:rFonts w:hint="eastAsia" w:ascii="黑体" w:hAnsi="黑体" w:eastAsia="黑体" w:cs="黑体"/>
          <w:color w:val="000000"/>
          <w:highlight w:val="none"/>
        </w:rPr>
      </w:pPr>
    </w:p>
    <w:p w14:paraId="534B1807">
      <w:pPr>
        <w:jc w:val="center"/>
        <w:rPr>
          <w:rFonts w:hint="eastAsia" w:ascii="黑体" w:hAnsi="黑体" w:eastAsia="黑体" w:cs="黑体"/>
          <w:color w:val="000000"/>
          <w:sz w:val="28"/>
          <w:szCs w:val="28"/>
          <w:highlight w:val="none"/>
        </w:rPr>
      </w:pPr>
      <w:r>
        <w:rPr>
          <w:rFonts w:hint="eastAsia" w:ascii="黑体" w:hAnsi="黑体" w:eastAsia="黑体" w:cs="黑体"/>
          <w:color w:val="000000"/>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5</w:t>
      </w:r>
      <w:r>
        <w:rPr>
          <w:rFonts w:hint="eastAsia" w:ascii="黑体" w:hAnsi="黑体" w:eastAsia="黑体" w:cs="黑体"/>
          <w:color w:val="000000"/>
          <w:sz w:val="28"/>
          <w:szCs w:val="28"/>
          <w:highlight w:val="none"/>
        </w:rPr>
        <w:t xml:space="preserve">  南京医科大学考场纪律守则</w:t>
      </w:r>
    </w:p>
    <w:p w14:paraId="1B72ACE1">
      <w:pPr>
        <w:spacing w:before="156" w:beforeLines="50"/>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一、考生必须按时进入考场，按照预先排好的座位对号入座，开考15分钟后，迟到考生不得进入考场，并作为旷考处理。</w:t>
      </w:r>
    </w:p>
    <w:p w14:paraId="642A597C">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二、考生应穿着正式，不得穿拖鞋、背心、吊带类衣裙等进入考场。</w:t>
      </w:r>
    </w:p>
    <w:p w14:paraId="20C76F3F">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三、考生进入考场，只准携带考试必需的文具用品，禁止携带录放音机、电子记事本、数码手表、闹钟等电子产品以及手机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手表</w:t>
      </w:r>
      <w:r>
        <w:rPr>
          <w:rFonts w:hint="eastAsia" w:ascii="黑体" w:hAnsi="黑体" w:eastAsia="黑体" w:cs="黑体"/>
          <w:color w:val="000000"/>
          <w:highlight w:val="none"/>
        </w:rPr>
        <w:t>等各种无线通信工具等进入考场，否则视为违纪。考生的书包、书籍等物品一律在考前放在监考人员指定的地点，桌面及座位不得垫放任何有字迹的物品。</w:t>
      </w:r>
    </w:p>
    <w:p w14:paraId="45655BBB">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四、考生必须携带学生证或有效身份证件参加考试，将证件放在桌子左上角备查，不带证件者不得参加考试。</w:t>
      </w:r>
    </w:p>
    <w:p w14:paraId="4F03825A">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如因特殊原因，暂无学生证或有效身份证件，由考生写出情况说明并粘贴考生本人照片，经学办签字盖章证实，持此说明，方可参加考试。</w:t>
      </w:r>
    </w:p>
    <w:p w14:paraId="508411CB">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五、考生必须在考卷和答题纸(卡)上指定的地方准确填写自己的学号、姓名、班级等信息。</w:t>
      </w:r>
    </w:p>
    <w:p w14:paraId="453F04A9">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六、考生应在考试规定的地方填涂或答题，其他地方不得作任何标记。考试开始后30分钟以内，考生不得交卷。</w:t>
      </w:r>
    </w:p>
    <w:p w14:paraId="1562BBC3">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七、考场内须保持肃静，不准喧哗。考生应独立完成答卷。考生必须严格遵守考试纪律，严禁交头接耳或左顾右盼，不准偷看、交谈、互对答案或交换答卷、传递、夹带、抄袭他人答案或将自己的答案让他人抄袭。考生提问应先举手，得到允许后，只可提有关试卷字迹不清、卷面缺损、污染等问题，不得要求教师解释题意。在考试过程中，因特殊情况需中途离开考场者，须经监考人员许可，并由监考人员陪同往返考场。</w:t>
      </w:r>
    </w:p>
    <w:p w14:paraId="6EEA71AC">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八、考生须按时交卷，不得拖延。逾时不交卷者，按考试违纪处理。</w:t>
      </w:r>
    </w:p>
    <w:p w14:paraId="7BB9C8AF">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九、考生交卷后须立即离场，不得在考场内或附近谈话，不准在考场附近逗留，影响正常考试。考生不准带走试卷、答题纸。</w:t>
      </w:r>
    </w:p>
    <w:p w14:paraId="223F4B2D">
      <w:pPr>
        <w:ind w:firstLine="420" w:firstLineChars="200"/>
        <w:jc w:val="left"/>
        <w:rPr>
          <w:rFonts w:hint="eastAsia" w:ascii="黑体" w:hAnsi="黑体" w:eastAsia="黑体" w:cs="黑体"/>
          <w:color w:val="000000"/>
          <w:highlight w:val="none"/>
        </w:rPr>
      </w:pPr>
      <w:r>
        <w:rPr>
          <w:rFonts w:hint="eastAsia" w:ascii="黑体" w:hAnsi="黑体" w:eastAsia="黑体" w:cs="黑体"/>
          <w:color w:val="000000"/>
          <w:highlight w:val="none"/>
        </w:rPr>
        <w:t>十、如发现有违反考场规则的任何举动，监考人员立即令其停止考试，该门课程以“0”分计算，并不得参加正常补考。对证据确凿的作弊行为者将按学校有关规定予以处罚。</w:t>
      </w:r>
    </w:p>
    <w:p w14:paraId="486A6CF9">
      <w:pPr>
        <w:ind w:firstLine="375" w:firstLineChars="179"/>
        <w:jc w:val="left"/>
        <w:rPr>
          <w:rFonts w:hint="eastAsia" w:ascii="黑体" w:hAnsi="黑体" w:eastAsia="黑体" w:cs="黑体"/>
          <w:color w:val="000000"/>
          <w:highlight w:val="none"/>
        </w:rPr>
      </w:pPr>
    </w:p>
    <w:p w14:paraId="207F1316">
      <w:pPr>
        <w:ind w:firstLine="375" w:firstLineChars="179"/>
        <w:jc w:val="left"/>
        <w:rPr>
          <w:rFonts w:hint="eastAsia" w:ascii="黑体" w:hAnsi="黑体" w:eastAsia="黑体" w:cs="黑体"/>
          <w:color w:val="000000"/>
          <w:highlight w:val="none"/>
        </w:rPr>
      </w:pPr>
    </w:p>
    <w:p w14:paraId="3EB75262">
      <w:pPr>
        <w:ind w:firstLine="375" w:firstLineChars="179"/>
        <w:jc w:val="left"/>
        <w:rPr>
          <w:rFonts w:hint="eastAsia" w:ascii="黑体" w:hAnsi="黑体" w:eastAsia="黑体" w:cs="黑体"/>
          <w:color w:val="000000"/>
          <w:highlight w:val="none"/>
        </w:rPr>
      </w:pPr>
    </w:p>
    <w:p w14:paraId="17D1A4F3">
      <w:pPr>
        <w:ind w:firstLine="375" w:firstLineChars="179"/>
        <w:jc w:val="left"/>
        <w:rPr>
          <w:rFonts w:hint="eastAsia" w:ascii="黑体" w:hAnsi="黑体" w:eastAsia="黑体" w:cs="黑体"/>
          <w:color w:val="000000"/>
          <w:highlight w:val="none"/>
        </w:rPr>
      </w:pPr>
    </w:p>
    <w:p w14:paraId="773DA32B">
      <w:pPr>
        <w:ind w:firstLine="375" w:firstLineChars="179"/>
        <w:jc w:val="left"/>
        <w:rPr>
          <w:rFonts w:hint="eastAsia" w:ascii="黑体" w:hAnsi="黑体" w:eastAsia="黑体" w:cs="黑体"/>
          <w:color w:val="000000"/>
          <w:highlight w:val="none"/>
        </w:rPr>
      </w:pPr>
    </w:p>
    <w:p w14:paraId="75934573">
      <w:pPr>
        <w:ind w:firstLine="375" w:firstLineChars="179"/>
        <w:jc w:val="left"/>
        <w:rPr>
          <w:rFonts w:hint="eastAsia" w:ascii="黑体" w:hAnsi="黑体" w:eastAsia="黑体" w:cs="黑体"/>
          <w:color w:val="000000"/>
          <w:highlight w:val="none"/>
        </w:rPr>
      </w:pPr>
    </w:p>
    <w:p w14:paraId="4E1F0A28">
      <w:pPr>
        <w:ind w:firstLine="375" w:firstLineChars="179"/>
        <w:jc w:val="left"/>
        <w:rPr>
          <w:rFonts w:hint="eastAsia" w:ascii="黑体" w:hAnsi="黑体" w:eastAsia="黑体" w:cs="黑体"/>
          <w:color w:val="000000"/>
          <w:highlight w:val="none"/>
        </w:rPr>
      </w:pPr>
    </w:p>
    <w:p w14:paraId="247F6705">
      <w:pPr>
        <w:ind w:firstLine="375" w:firstLineChars="179"/>
        <w:jc w:val="left"/>
        <w:rPr>
          <w:rFonts w:hint="eastAsia" w:ascii="黑体" w:hAnsi="黑体" w:eastAsia="黑体" w:cs="黑体"/>
          <w:color w:val="000000"/>
          <w:highlight w:val="none"/>
        </w:rPr>
      </w:pPr>
    </w:p>
    <w:p w14:paraId="1F86DAEE">
      <w:pPr>
        <w:ind w:firstLine="375" w:firstLineChars="179"/>
        <w:jc w:val="left"/>
        <w:rPr>
          <w:rFonts w:hint="eastAsia" w:ascii="黑体" w:hAnsi="黑体" w:eastAsia="黑体" w:cs="黑体"/>
          <w:color w:val="000000"/>
          <w:highlight w:val="none"/>
        </w:rPr>
      </w:pPr>
    </w:p>
    <w:p w14:paraId="05FA44FC">
      <w:pPr>
        <w:ind w:firstLine="375" w:firstLineChars="179"/>
        <w:jc w:val="left"/>
        <w:rPr>
          <w:rFonts w:hint="eastAsia" w:ascii="黑体" w:hAnsi="黑体" w:eastAsia="黑体" w:cs="黑体"/>
          <w:color w:val="000000"/>
          <w:highlight w:val="none"/>
        </w:rPr>
      </w:pPr>
    </w:p>
    <w:p w14:paraId="05BB815F">
      <w:pPr>
        <w:ind w:firstLine="375" w:firstLineChars="179"/>
        <w:jc w:val="left"/>
        <w:rPr>
          <w:rFonts w:hint="eastAsia" w:ascii="黑体" w:hAnsi="黑体" w:eastAsia="黑体" w:cs="黑体"/>
          <w:color w:val="000000"/>
          <w:highlight w:val="none"/>
        </w:rPr>
      </w:pPr>
    </w:p>
    <w:p w14:paraId="6D31F591">
      <w:pPr>
        <w:ind w:firstLine="375" w:firstLineChars="179"/>
        <w:jc w:val="left"/>
        <w:rPr>
          <w:rFonts w:hint="eastAsia" w:ascii="黑体" w:hAnsi="黑体" w:eastAsia="黑体" w:cs="黑体"/>
          <w:color w:val="000000"/>
          <w:highlight w:val="none"/>
        </w:rPr>
      </w:pPr>
    </w:p>
    <w:p w14:paraId="191CF315">
      <w:pPr>
        <w:ind w:firstLine="375" w:firstLineChars="179"/>
        <w:jc w:val="left"/>
        <w:rPr>
          <w:rFonts w:hint="eastAsia" w:ascii="黑体" w:hAnsi="黑体" w:eastAsia="黑体" w:cs="黑体"/>
          <w:color w:val="000000"/>
          <w:highlight w:val="none"/>
        </w:rPr>
      </w:pPr>
    </w:p>
    <w:p w14:paraId="4DE6EC90">
      <w:pPr>
        <w:ind w:firstLine="375" w:firstLineChars="179"/>
        <w:jc w:val="left"/>
        <w:rPr>
          <w:rFonts w:hint="eastAsia" w:ascii="黑体" w:hAnsi="黑体" w:eastAsia="黑体" w:cs="黑体"/>
          <w:color w:val="000000"/>
          <w:highlight w:val="none"/>
        </w:rPr>
      </w:pPr>
    </w:p>
    <w:p w14:paraId="25D5150F">
      <w:pPr>
        <w:ind w:firstLine="375" w:firstLineChars="179"/>
        <w:jc w:val="left"/>
        <w:rPr>
          <w:rFonts w:hint="eastAsia" w:ascii="黑体" w:hAnsi="黑体" w:eastAsia="黑体" w:cs="黑体"/>
          <w:color w:val="000000"/>
          <w:highlight w:val="none"/>
        </w:rPr>
      </w:pPr>
    </w:p>
    <w:p w14:paraId="7A091628">
      <w:pPr>
        <w:ind w:firstLine="375" w:firstLineChars="179"/>
        <w:jc w:val="left"/>
        <w:rPr>
          <w:rFonts w:hint="eastAsia" w:ascii="黑体" w:hAnsi="黑体" w:eastAsia="黑体" w:cs="黑体"/>
          <w:color w:val="000000"/>
          <w:highlight w:val="none"/>
        </w:rPr>
      </w:pPr>
    </w:p>
    <w:p w14:paraId="7613A321">
      <w:pPr>
        <w:ind w:firstLine="375" w:firstLineChars="179"/>
        <w:jc w:val="left"/>
        <w:rPr>
          <w:rFonts w:hint="eastAsia" w:ascii="黑体" w:hAnsi="黑体" w:eastAsia="黑体" w:cs="黑体"/>
          <w:color w:val="000000"/>
          <w:highlight w:val="none"/>
        </w:rPr>
      </w:pPr>
    </w:p>
    <w:p w14:paraId="5368BDFF">
      <w:pPr>
        <w:ind w:firstLine="375" w:firstLineChars="179"/>
        <w:jc w:val="left"/>
        <w:rPr>
          <w:rFonts w:hint="eastAsia" w:ascii="黑体" w:hAnsi="黑体" w:eastAsia="黑体" w:cs="黑体"/>
          <w:color w:val="000000"/>
          <w:highlight w:val="none"/>
        </w:rPr>
      </w:pPr>
    </w:p>
    <w:p w14:paraId="6451B786">
      <w:pPr>
        <w:ind w:firstLine="375" w:firstLineChars="179"/>
        <w:jc w:val="left"/>
        <w:rPr>
          <w:rFonts w:hint="eastAsia" w:ascii="黑体" w:hAnsi="黑体" w:eastAsia="黑体" w:cs="黑体"/>
          <w:color w:val="000000"/>
          <w:highlight w:val="none"/>
        </w:rPr>
      </w:pPr>
    </w:p>
    <w:p w14:paraId="4F95CBDC">
      <w:pPr>
        <w:ind w:firstLine="375" w:firstLineChars="179"/>
        <w:jc w:val="left"/>
        <w:rPr>
          <w:rFonts w:hint="eastAsia" w:ascii="黑体" w:hAnsi="黑体" w:eastAsia="黑体" w:cs="黑体"/>
          <w:color w:val="000000"/>
          <w:highlight w:val="none"/>
        </w:rPr>
      </w:pPr>
    </w:p>
    <w:p w14:paraId="430A7F5C">
      <w:pPr>
        <w:ind w:firstLine="375" w:firstLineChars="179"/>
        <w:jc w:val="left"/>
        <w:rPr>
          <w:rFonts w:hint="eastAsia" w:ascii="黑体" w:hAnsi="黑体" w:eastAsia="黑体" w:cs="黑体"/>
          <w:color w:val="000000"/>
          <w:highlight w:val="none"/>
        </w:rPr>
      </w:pPr>
    </w:p>
    <w:p w14:paraId="1C995216">
      <w:pPr>
        <w:ind w:firstLine="375" w:firstLineChars="179"/>
        <w:jc w:val="left"/>
        <w:rPr>
          <w:rFonts w:hint="eastAsia" w:ascii="黑体" w:hAnsi="黑体" w:eastAsia="黑体" w:cs="黑体"/>
          <w:color w:val="000000"/>
          <w:highlight w:val="none"/>
        </w:rPr>
      </w:pPr>
    </w:p>
    <w:p w14:paraId="2FF57EE5">
      <w:pPr>
        <w:ind w:firstLine="375" w:firstLineChars="179"/>
        <w:jc w:val="left"/>
        <w:rPr>
          <w:rFonts w:hint="eastAsia" w:ascii="黑体" w:hAnsi="黑体" w:eastAsia="黑体" w:cs="黑体"/>
          <w:color w:val="000000"/>
          <w:highlight w:val="none"/>
        </w:rPr>
      </w:pPr>
    </w:p>
    <w:p w14:paraId="55FB5976">
      <w:pPr>
        <w:ind w:firstLine="375" w:firstLineChars="179"/>
        <w:jc w:val="left"/>
        <w:rPr>
          <w:rFonts w:hint="eastAsia" w:ascii="黑体" w:hAnsi="黑体" w:eastAsia="黑体" w:cs="黑体"/>
          <w:color w:val="000000"/>
          <w:highlight w:val="none"/>
        </w:rPr>
      </w:pPr>
    </w:p>
    <w:p w14:paraId="58CA42F1">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6</w:t>
      </w:r>
      <w:r>
        <w:rPr>
          <w:rFonts w:hint="eastAsia" w:ascii="黑体" w:hAnsi="黑体" w:eastAsia="黑体" w:cs="黑体"/>
          <w:color w:val="000000"/>
          <w:sz w:val="28"/>
          <w:szCs w:val="28"/>
          <w:highlight w:val="none"/>
        </w:rPr>
        <w:t xml:space="preserve">  南京医科大学考试违纪与作弊处理办法</w:t>
      </w:r>
    </w:p>
    <w:p w14:paraId="3AB07417">
      <w:pPr>
        <w:keepNext w:val="0"/>
        <w:keepLines w:val="0"/>
        <w:pageBreakBefore w:val="0"/>
        <w:widowControl w:val="0"/>
        <w:kinsoku/>
        <w:wordWrap/>
        <w:overflowPunct/>
        <w:topLinePunct w:val="0"/>
        <w:autoSpaceDE/>
        <w:autoSpaceDN/>
        <w:bidi w:val="0"/>
        <w:adjustRightInd/>
        <w:snapToGrid/>
        <w:spacing w:before="313" w:beforeLines="100"/>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一、考试违纪与作弊行为的界定</w:t>
      </w:r>
    </w:p>
    <w:p w14:paraId="5EEDB6CA">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(一)违纪行为</w:t>
      </w:r>
    </w:p>
    <w:p w14:paraId="675ED2F7">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考试开始前</w:t>
      </w:r>
    </w:p>
    <w:p w14:paraId="59EE531B">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考试无故迟到、无故旷考、不按指定座位就坐、在考场大声喧哗、不听劝阻等扰乱考场秩序行为。</w:t>
      </w:r>
    </w:p>
    <w:p w14:paraId="77390625">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不按规定将书本、笔记等书面材料放在指定位置。</w:t>
      </w:r>
    </w:p>
    <w:p w14:paraId="0E7389FA">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将手机及其他电子存储设备带入考场。</w:t>
      </w:r>
    </w:p>
    <w:p w14:paraId="739D59CE">
      <w:pPr>
        <w:numPr>
          <w:ilvl w:val="0"/>
          <w:numId w:val="0"/>
        </w:numPr>
        <w:ind w:left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（4）在线考试未按要求提前进入指定监考会议室进行考前检查。</w:t>
      </w:r>
    </w:p>
    <w:p w14:paraId="6619770B">
      <w:pPr>
        <w:numPr>
          <w:ilvl w:val="0"/>
          <w:numId w:val="0"/>
        </w:numPr>
        <w:ind w:leftChars="200"/>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（5）在线考试未按考试要求做好准备，包含设备要求、环境要求及操作要求，具体参考学生在线考试要求。</w:t>
      </w:r>
    </w:p>
    <w:p w14:paraId="3F6DE460">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考试过程中</w:t>
      </w:r>
    </w:p>
    <w:p w14:paraId="635D1ED0">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未经监考教师许可，不按规定场次和位置就坐，擅自改换场次和座位。</w:t>
      </w:r>
    </w:p>
    <w:p w14:paraId="22CE86CC">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未经监考教师同意，擅自互借物品、随意讲话或交头接耳。</w:t>
      </w:r>
    </w:p>
    <w:p w14:paraId="25AD9339">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考试结束后</w:t>
      </w:r>
    </w:p>
    <w:p w14:paraId="78D9C53C">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未及时停止书写。</w:t>
      </w:r>
    </w:p>
    <w:p w14:paraId="16691CB1">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互相看试卷，但未抄袭。</w:t>
      </w:r>
    </w:p>
    <w:p w14:paraId="7D61F809">
      <w:pPr>
        <w:numPr>
          <w:ilvl w:val="0"/>
          <w:numId w:val="0"/>
        </w:numPr>
        <w:ind w:leftChars="200"/>
        <w:jc w:val="left"/>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将试卷或草稿纸带出考场。</w:t>
      </w:r>
    </w:p>
    <w:p w14:paraId="082023BD">
      <w:pPr>
        <w:keepNext w:val="0"/>
        <w:keepLines w:val="0"/>
        <w:pageBreakBefore w:val="0"/>
        <w:widowControl w:val="0"/>
        <w:kinsoku/>
        <w:wordWrap/>
        <w:overflowPunct/>
        <w:topLinePunct w:val="0"/>
        <w:autoSpaceDE/>
        <w:autoSpaceDN/>
        <w:bidi w:val="0"/>
        <w:adjustRightInd/>
        <w:snapToGrid/>
        <w:spacing w:before="157" w:beforeLines="50"/>
        <w:ind w:firstLine="375" w:firstLineChars="179"/>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(二)作弊行为</w:t>
      </w:r>
    </w:p>
    <w:p w14:paraId="7AE879E0">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1.考试过程中夹带或暗藏与考试内容有关的纸条、书籍、其他文字材料。</w:t>
      </w:r>
    </w:p>
    <w:p w14:paraId="0D6AFE87">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2.考试过程中互相交换、传递与考试内容有关的纸条或文字。</w:t>
      </w:r>
    </w:p>
    <w:p w14:paraId="649D000E">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3.考试过程中违反规定，随身携带手机及其他电子存储设备，且处于开机状态。</w:t>
      </w:r>
    </w:p>
    <w:p w14:paraId="610DC51E">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4.考试过程中与周围同学讨论试题及答案，或多次随意交谈、交头接耳，监考教师警告无效。</w:t>
      </w:r>
    </w:p>
    <w:p w14:paraId="38EB0605">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5.偷看并抄袭其他同学试卷。</w:t>
      </w:r>
    </w:p>
    <w:p w14:paraId="553ECB43">
      <w:pPr>
        <w:ind w:firstLine="375" w:firstLineChars="179"/>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6.出现异常切屏、浮窗等。</w:t>
      </w:r>
    </w:p>
    <w:p w14:paraId="3C31F95F">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未经允许，离开考试座位、监控界面。</w:t>
      </w:r>
      <w:r>
        <w:rPr>
          <w:rFonts w:hint="eastAsia" w:ascii="黑体" w:hAnsi="黑体" w:eastAsia="黑体" w:cs="黑体"/>
          <w:color w:val="000000"/>
          <w:highlight w:val="none"/>
        </w:rPr>
        <w:t>交卷后，未经监考教师同意，修改答卷内容。</w:t>
      </w:r>
    </w:p>
    <w:p w14:paraId="7C0621E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8</w:t>
      </w:r>
      <w:r>
        <w:rPr>
          <w:rFonts w:hint="eastAsia" w:ascii="黑体" w:hAnsi="黑体" w:eastAsia="黑体" w:cs="黑体"/>
          <w:color w:val="000000"/>
          <w:highlight w:val="none"/>
        </w:rPr>
        <w:t>.考试过程中为别人代考或为代考创造条件，或以任何形式向他人提供考试试题或答案。</w:t>
      </w:r>
    </w:p>
    <w:p w14:paraId="26025280">
      <w:pPr>
        <w:ind w:firstLine="375" w:firstLineChars="179"/>
        <w:jc w:val="left"/>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9.其他以不正当手段获得或试图获得试题答案、考试成绩的行为。</w:t>
      </w:r>
    </w:p>
    <w:p w14:paraId="4767E32B">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10</w:t>
      </w:r>
      <w:r>
        <w:rPr>
          <w:rFonts w:hint="eastAsia" w:ascii="黑体" w:hAnsi="黑体" w:eastAsia="黑体" w:cs="黑体"/>
          <w:color w:val="000000"/>
          <w:highlight w:val="none"/>
        </w:rPr>
        <w:t>.其他被认定</w:t>
      </w:r>
      <w:r>
        <w:rPr>
          <w:rFonts w:hint="eastAsia" w:ascii="黑体" w:hAnsi="黑体" w:eastAsia="黑体" w:cs="黑体"/>
          <w:color w:val="000000"/>
          <w:highlight w:val="none"/>
          <w:lang w:val="en-US" w:eastAsia="zh-CN"/>
        </w:rPr>
        <w:t>为</w:t>
      </w:r>
      <w:r>
        <w:rPr>
          <w:rFonts w:hint="eastAsia" w:ascii="黑体" w:hAnsi="黑体" w:eastAsia="黑体" w:cs="黑体"/>
          <w:color w:val="000000"/>
          <w:highlight w:val="none"/>
        </w:rPr>
        <w:t>作弊行为</w:t>
      </w:r>
      <w:r>
        <w:rPr>
          <w:rFonts w:hint="eastAsia" w:ascii="黑体" w:hAnsi="黑体" w:eastAsia="黑体" w:cs="黑体"/>
          <w:color w:val="000000"/>
          <w:highlight w:val="none"/>
          <w:lang w:eastAsia="zh-CN"/>
        </w:rPr>
        <w:t>的</w:t>
      </w:r>
      <w:r>
        <w:rPr>
          <w:rFonts w:hint="eastAsia" w:ascii="黑体" w:hAnsi="黑体" w:eastAsia="黑体" w:cs="黑体"/>
          <w:color w:val="000000"/>
          <w:highlight w:val="none"/>
        </w:rPr>
        <w:t>。</w:t>
      </w:r>
    </w:p>
    <w:p w14:paraId="069AAD19">
      <w:pPr>
        <w:keepNext w:val="0"/>
        <w:keepLines w:val="0"/>
        <w:pageBreakBefore w:val="0"/>
        <w:widowControl w:val="0"/>
        <w:kinsoku/>
        <w:wordWrap/>
        <w:overflowPunct/>
        <w:topLinePunct w:val="0"/>
        <w:autoSpaceDE/>
        <w:autoSpaceDN/>
        <w:bidi w:val="0"/>
        <w:adjustRightInd/>
        <w:snapToGrid/>
        <w:spacing w:before="157" w:beforeLines="50"/>
        <w:ind w:firstLine="375" w:firstLineChars="179"/>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(三)严重作弊行为</w:t>
      </w:r>
    </w:p>
    <w:p w14:paraId="0BFC1683">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1.通过偷盗、收买、欺诈等恶劣手段事先获得试题或试卷。</w:t>
      </w:r>
    </w:p>
    <w:p w14:paraId="790AD30C">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2.找别人为自己代考。</w:t>
      </w:r>
    </w:p>
    <w:p w14:paraId="55A1E58F">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3.两次或两次以上考试违纪或作弊。</w:t>
      </w:r>
    </w:p>
    <w:p w14:paraId="554D2C3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4.串通同学(3 人及其以上)集体作弊。</w:t>
      </w:r>
    </w:p>
    <w:p w14:paraId="1329259E">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5.利用现代信息和通讯技术，串通考场内外实施作弊。</w:t>
      </w:r>
    </w:p>
    <w:p w14:paraId="3DB900E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6.在考试结束后，以偷盗、收买、欺诈等手段为自己修改试卷答案。</w:t>
      </w:r>
    </w:p>
    <w:p w14:paraId="0475585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7.作弊行为被发现和处理时，态度恶劣、拒不认错，无理取闹，扰乱考场秩序。</w:t>
      </w:r>
    </w:p>
    <w:p w14:paraId="2074B90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8.对检举人、证人、工作人员进行威胁或打击报复，或采用恶劣手段阻止他人检举揭发，干扰管理人员的查处工作。</w:t>
      </w:r>
    </w:p>
    <w:p w14:paraId="77B70360">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9</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作弊行为发生后，通过串连、制定“攻守同盟”，或作伪证等各种手段，扰乱和阻碍调查处理。</w:t>
      </w:r>
    </w:p>
    <w:p w14:paraId="47FAC49E">
      <w:pPr>
        <w:ind w:firstLine="375" w:firstLineChars="179"/>
        <w:jc w:val="left"/>
        <w:rPr>
          <w:rFonts w:hint="eastAsia" w:ascii="黑体" w:hAnsi="黑体" w:eastAsia="黑体" w:cs="黑体"/>
          <w:color w:val="000000"/>
          <w:highlight w:val="none"/>
        </w:rPr>
      </w:pPr>
    </w:p>
    <w:p w14:paraId="1A1E5EB1">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二、处理办法</w:t>
      </w:r>
    </w:p>
    <w:p w14:paraId="726CAA05">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(一)违纪行为处理</w:t>
      </w:r>
    </w:p>
    <w:p w14:paraId="51A32B20">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1.违纪学生必须做出深刻检查，予以警告、严重警告处分；对认错态度好，检查深刻，违纪情节较轻者，可免予处分，给予校内通报批评。</w:t>
      </w:r>
    </w:p>
    <w:p w14:paraId="364B18FD">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2.对严重影响考试或考场纪律者，可由监考教师取消资格，将其带离考场，考试成绩以“0”分计，不得参加补考，必须重修。</w:t>
      </w:r>
    </w:p>
    <w:p w14:paraId="26B2A8A4">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3.学生处分按学校规定程序未解除者，取消当年评优、评奖(包括奖学金)资格、取消免试推荐研究生资格、申请第二学位资格。</w:t>
      </w:r>
    </w:p>
    <w:p w14:paraId="101C2265">
      <w:pPr>
        <w:keepNext w:val="0"/>
        <w:keepLines w:val="0"/>
        <w:pageBreakBefore w:val="0"/>
        <w:widowControl w:val="0"/>
        <w:kinsoku/>
        <w:wordWrap/>
        <w:overflowPunct/>
        <w:topLinePunct w:val="0"/>
        <w:autoSpaceDE/>
        <w:autoSpaceDN/>
        <w:bidi w:val="0"/>
        <w:adjustRightInd/>
        <w:snapToGrid/>
        <w:spacing w:before="157" w:beforeLines="50"/>
        <w:ind w:firstLine="375" w:firstLineChars="179"/>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(二)作弊行为处理</w:t>
      </w:r>
    </w:p>
    <w:p w14:paraId="2782184E">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1.考试成绩以“0”分计，不得参加补考，必须重修。</w:t>
      </w:r>
    </w:p>
    <w:p w14:paraId="103CAB00">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2.给予记过处分，作弊学生必须做出深刻检查。</w:t>
      </w:r>
    </w:p>
    <w:p w14:paraId="5DCC2887">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3.取消推荐免试研究生资格。</w:t>
      </w:r>
    </w:p>
    <w:p w14:paraId="24C939E5">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4.学生处分按学校规定程序未解除者，取消评优、评奖( 包括奖学金)资格、申请第二学位资格。</w:t>
      </w:r>
    </w:p>
    <w:p w14:paraId="3FC652E0">
      <w:pPr>
        <w:keepNext w:val="0"/>
        <w:keepLines w:val="0"/>
        <w:pageBreakBefore w:val="0"/>
        <w:widowControl w:val="0"/>
        <w:kinsoku/>
        <w:wordWrap/>
        <w:overflowPunct/>
        <w:topLinePunct w:val="0"/>
        <w:autoSpaceDE/>
        <w:autoSpaceDN/>
        <w:bidi w:val="0"/>
        <w:adjustRightInd/>
        <w:snapToGrid/>
        <w:spacing w:before="157" w:beforeLines="50"/>
        <w:ind w:firstLine="375" w:firstLineChars="179"/>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(三)严重作弊行为处理</w:t>
      </w:r>
    </w:p>
    <w:p w14:paraId="6A182D5C">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1.考试成绩以“0”分计，不得参加补考，必须重修。</w:t>
      </w:r>
    </w:p>
    <w:p w14:paraId="637E824E">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2.作弊学生必须做出深刻检查，视情节轻重和认错态度给予留校察看或开除学籍处分。</w:t>
      </w:r>
    </w:p>
    <w:p w14:paraId="288F9911">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3.取消推荐免试研究生资格。</w:t>
      </w:r>
    </w:p>
    <w:p w14:paraId="0E0974F1">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4.学生处分按学校规定程序未解除者，取消评优、评奖(包括奖学金)资格、申请第二学位资格。</w:t>
      </w:r>
    </w:p>
    <w:p w14:paraId="7A70E147">
      <w:pPr>
        <w:ind w:firstLine="375" w:firstLineChars="179"/>
        <w:jc w:val="left"/>
        <w:rPr>
          <w:rFonts w:hint="eastAsia" w:ascii="黑体" w:hAnsi="黑体" w:eastAsia="黑体" w:cs="黑体"/>
          <w:color w:val="000000"/>
          <w:highlight w:val="none"/>
        </w:rPr>
      </w:pPr>
      <w:r>
        <w:rPr>
          <w:rFonts w:hint="eastAsia" w:ascii="黑体" w:hAnsi="黑体" w:eastAsia="黑体" w:cs="黑体"/>
          <w:color w:val="000000"/>
          <w:highlight w:val="none"/>
        </w:rPr>
        <w:t>5.对再次发生情节恶劣的严重作弊、已因作弊而受过记过以上处分者，给予开除学籍处分。</w:t>
      </w:r>
    </w:p>
    <w:p w14:paraId="389553EE">
      <w:pPr>
        <w:ind w:firstLine="375" w:firstLineChars="179"/>
        <w:rPr>
          <w:rFonts w:hint="eastAsia" w:ascii="黑体" w:hAnsi="黑体" w:eastAsia="黑体" w:cs="黑体"/>
          <w:color w:val="000000"/>
          <w:highlight w:val="none"/>
        </w:rPr>
      </w:pPr>
    </w:p>
    <w:p w14:paraId="16A7C1F8">
      <w:pPr>
        <w:ind w:firstLine="375" w:firstLineChars="179"/>
        <w:rPr>
          <w:rFonts w:hint="eastAsia" w:ascii="黑体" w:hAnsi="黑体" w:eastAsia="黑体" w:cs="黑体"/>
          <w:color w:val="000000"/>
          <w:highlight w:val="none"/>
        </w:rPr>
      </w:pPr>
      <w:r>
        <w:rPr>
          <w:rFonts w:hint="eastAsia" w:ascii="黑体" w:hAnsi="黑体" w:eastAsia="黑体" w:cs="黑体"/>
          <w:color w:val="000000"/>
          <w:highlight w:val="none"/>
        </w:rPr>
        <w:t>三、如举报他人考试违纪或作弊行为须于考后3天内实名举报，并提供充分信息和相关证据，以便调查核实，逾期无效。上述未尽事宜，视情节给予相应界定及处理，其解释权归教务处。</w:t>
      </w:r>
    </w:p>
    <w:p w14:paraId="5C729150">
      <w:pPr>
        <w:rPr>
          <w:rFonts w:hint="eastAsia" w:ascii="黑体" w:hAnsi="黑体" w:eastAsia="黑体" w:cs="黑体"/>
          <w:color w:val="000000"/>
          <w:highlight w:val="none"/>
        </w:rPr>
      </w:pPr>
    </w:p>
    <w:p w14:paraId="6DAFB8A3">
      <w:pPr>
        <w:ind w:firstLine="375" w:firstLineChars="179"/>
        <w:jc w:val="center"/>
        <w:rPr>
          <w:rFonts w:hint="eastAsia" w:ascii="黑体" w:hAnsi="黑体" w:eastAsia="黑体" w:cs="黑体"/>
          <w:color w:val="000000"/>
          <w:highlight w:val="none"/>
        </w:rPr>
      </w:pPr>
    </w:p>
    <w:p w14:paraId="0EF900F2">
      <w:pPr>
        <w:ind w:firstLine="375" w:firstLineChars="179"/>
        <w:jc w:val="center"/>
        <w:rPr>
          <w:rFonts w:hint="eastAsia" w:ascii="黑体" w:hAnsi="黑体" w:eastAsia="黑体" w:cs="黑体"/>
          <w:color w:val="000000"/>
          <w:highlight w:val="none"/>
        </w:rPr>
      </w:pPr>
    </w:p>
    <w:p w14:paraId="165B434C">
      <w:pPr>
        <w:ind w:firstLine="375" w:firstLineChars="179"/>
        <w:jc w:val="center"/>
        <w:rPr>
          <w:rFonts w:hint="eastAsia" w:ascii="黑体" w:hAnsi="黑体" w:eastAsia="黑体" w:cs="黑体"/>
          <w:color w:val="000000"/>
          <w:sz w:val="28"/>
          <w:szCs w:val="28"/>
          <w:highlight w:val="none"/>
        </w:rPr>
      </w:pPr>
      <w:r>
        <w:rPr>
          <w:rFonts w:hint="eastAsia" w:ascii="黑体" w:hAnsi="黑体" w:eastAsia="黑体" w:cs="黑体"/>
          <w:color w:val="000000"/>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7</w:t>
      </w:r>
      <w:r>
        <w:rPr>
          <w:rFonts w:hint="eastAsia" w:ascii="黑体" w:hAnsi="黑体" w:eastAsia="黑体" w:cs="黑体"/>
          <w:color w:val="000000"/>
          <w:sz w:val="28"/>
          <w:szCs w:val="28"/>
          <w:highlight w:val="none"/>
        </w:rPr>
        <w:t xml:space="preserve">  南京医科大学教室文明守则</w:t>
      </w:r>
    </w:p>
    <w:p w14:paraId="6049D519">
      <w:pPr>
        <w:tabs>
          <w:tab w:val="left" w:pos="720"/>
        </w:tabs>
        <w:spacing w:before="156" w:beforeLines="5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1.教室是教书育人、传播科学文化知识、组织教学活动的文明场所，必须保持安静，不准在走廊、教室内打闹或大声喧哗，不准在教室内进行娱乐、体育活动。</w:t>
      </w:r>
    </w:p>
    <w:p w14:paraId="31A9D140">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2.尊敬教师，认真听讲。宣布上课时，学生应起立致敬，教师提问，学生应起立回答，教师宣布下课，才能离开座位。不准穿背心、拖鞋进入教室，不准在讲课中途擅离教室，不准来访者私闯教室，影响上课。</w:t>
      </w:r>
    </w:p>
    <w:p w14:paraId="161A5A36">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3.自觉维护教室的整洁卫生。不准在教室内吃零食、乱扔废纸、杂物，不准随地吐痰。严禁在教室内吸烟、酗酒。</w:t>
      </w:r>
    </w:p>
    <w:p w14:paraId="47DE2F5F">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4.爱护国家财产。不准在门窗、桌椅、墙壁上随意涂写、刻画、张贴。不准随意搬运、拆卸教室内设施。损坏公物照价赔偿，情节严重者将予以纪律处分。</w:t>
      </w:r>
    </w:p>
    <w:p w14:paraId="723831A4">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5.节约水电，注意随手关灯关水。教室内人少时应集中用灯，最后离开教室的同学应关灯，关好教室门窗。</w:t>
      </w:r>
    </w:p>
    <w:p w14:paraId="6725DB5E">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6.严禁在教室内使用违章电器，如“热得快”、电炉、电热杯等。</w:t>
      </w:r>
    </w:p>
    <w:p w14:paraId="163B5137">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7.各教学楼内教师休息室专供教师休息用，学生未经许可不得入内。</w:t>
      </w:r>
    </w:p>
    <w:p w14:paraId="646AFD72">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8.学生上课及自修时间手机等通讯设备应予关闭或采用震动、静音方式，不得发出声音影响他人。</w:t>
      </w:r>
    </w:p>
    <w:p w14:paraId="0CF25144">
      <w:pPr>
        <w:rPr>
          <w:rFonts w:hint="eastAsia" w:ascii="黑体" w:hAnsi="黑体" w:eastAsia="黑体" w:cs="黑体"/>
          <w:color w:val="000000"/>
          <w:highlight w:val="none"/>
        </w:rPr>
      </w:pPr>
    </w:p>
    <w:p w14:paraId="7A89E99E">
      <w:pPr>
        <w:tabs>
          <w:tab w:val="left" w:pos="720"/>
        </w:tabs>
        <w:ind w:firstLine="420" w:firstLineChars="200"/>
        <w:rPr>
          <w:rFonts w:hint="eastAsia" w:ascii="黑体" w:hAnsi="黑体" w:eastAsia="黑体" w:cs="黑体"/>
          <w:color w:val="000000"/>
          <w:highlight w:val="none"/>
        </w:rPr>
      </w:pPr>
    </w:p>
    <w:p w14:paraId="7E065EA4">
      <w:pPr>
        <w:spacing w:line="440" w:lineRule="exact"/>
        <w:jc w:val="center"/>
        <w:rPr>
          <w:rFonts w:hint="eastAsia" w:ascii="黑体" w:hAnsi="黑体" w:eastAsia="黑体" w:cs="黑体"/>
          <w:color w:val="000000"/>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8</w:t>
      </w:r>
      <w:r>
        <w:rPr>
          <w:rFonts w:hint="eastAsia" w:ascii="黑体" w:hAnsi="黑体" w:eastAsia="黑体" w:cs="黑体"/>
          <w:color w:val="000000"/>
          <w:sz w:val="28"/>
          <w:szCs w:val="28"/>
          <w:highlight w:val="none"/>
        </w:rPr>
        <w:t xml:space="preserve">  南京医科大学选修课管理规定</w:t>
      </w:r>
    </w:p>
    <w:p w14:paraId="102C78DA">
      <w:pPr>
        <w:keepNext w:val="0"/>
        <w:keepLines w:val="0"/>
        <w:pageBreakBefore w:val="0"/>
        <w:widowControl w:val="0"/>
        <w:tabs>
          <w:tab w:val="left" w:pos="720"/>
        </w:tabs>
        <w:kinsoku/>
        <w:wordWrap/>
        <w:overflowPunct/>
        <w:topLinePunct w:val="0"/>
        <w:autoSpaceDE/>
        <w:autoSpaceDN/>
        <w:bidi w:val="0"/>
        <w:adjustRightInd/>
        <w:snapToGrid/>
        <w:spacing w:before="313" w:beforeLines="100"/>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1.选修课内容应陶冶学生情操，拓宽学生知识面，提高学生素质。</w:t>
      </w:r>
    </w:p>
    <w:p w14:paraId="759FAD7F">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2.选修课1</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学时为1学分，每门课程最高不超过2学分、30学时(含考试学时)。本科生必须修满规定学分方可毕业。</w:t>
      </w:r>
    </w:p>
    <w:p w14:paraId="1B022C4C">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3.学生参加选修课必须遵守课堂纪律，不得迟到、早退，不得无故缺课、缺考，考试不得违纪、作弊。</w:t>
      </w:r>
    </w:p>
    <w:p w14:paraId="572E653F">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4.选修课严格考勤，参加选修的学生必须认真坚持学习，缺课达该门课程1/3学时者，不得参加考试，作“未选”处理。</w:t>
      </w:r>
    </w:p>
    <w:p w14:paraId="4E43472C">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5.选修课考核由教务处统一安排，考核不及格不安排重修。</w:t>
      </w:r>
    </w:p>
    <w:p w14:paraId="26363B8D">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6.一门选修课报名学生数不足30人，暂缓开课。</w:t>
      </w:r>
    </w:p>
    <w:p w14:paraId="55C0F393">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7.选修课选修程序：</w:t>
      </w:r>
    </w:p>
    <w:p w14:paraId="0079FB65">
      <w:pPr>
        <w:tabs>
          <w:tab w:val="left" w:pos="900"/>
        </w:tabs>
        <w:ind w:firstLine="315" w:firstLineChars="150"/>
        <w:rPr>
          <w:rFonts w:hint="eastAsia" w:ascii="黑体" w:hAnsi="黑体" w:eastAsia="黑体" w:cs="黑体"/>
          <w:color w:val="000000"/>
          <w:highlight w:val="none"/>
        </w:rPr>
      </w:pPr>
      <w:r>
        <w:rPr>
          <w:rFonts w:hint="eastAsia" w:ascii="黑体" w:hAnsi="黑体" w:eastAsia="黑体" w:cs="黑体"/>
          <w:color w:val="000000"/>
          <w:highlight w:val="none"/>
        </w:rPr>
        <w:t>(1)每学期第一周教务处向学生公布选修课程目录，(具体时间以通知为准)；</w:t>
      </w:r>
    </w:p>
    <w:p w14:paraId="2006E631">
      <w:pPr>
        <w:tabs>
          <w:tab w:val="left" w:pos="900"/>
        </w:tabs>
        <w:ind w:firstLine="315" w:firstLineChars="150"/>
        <w:rPr>
          <w:rFonts w:hint="eastAsia" w:ascii="黑体" w:hAnsi="黑体" w:eastAsia="黑体" w:cs="黑体"/>
          <w:color w:val="000000"/>
          <w:highlight w:val="none"/>
        </w:rPr>
      </w:pPr>
      <w:r>
        <w:rPr>
          <w:rFonts w:hint="eastAsia" w:ascii="黑体" w:hAnsi="黑体" w:eastAsia="黑体" w:cs="黑体"/>
          <w:color w:val="000000"/>
          <w:highlight w:val="none"/>
        </w:rPr>
        <w:t>(2)每学期第二周学生自行上网选课；</w:t>
      </w:r>
    </w:p>
    <w:p w14:paraId="21686119">
      <w:pPr>
        <w:tabs>
          <w:tab w:val="left" w:pos="900"/>
        </w:tabs>
        <w:ind w:firstLine="315" w:firstLineChars="150"/>
        <w:rPr>
          <w:rFonts w:hint="eastAsia" w:ascii="黑体" w:hAnsi="黑体" w:eastAsia="黑体" w:cs="黑体"/>
          <w:color w:val="000000"/>
          <w:highlight w:val="none"/>
        </w:rPr>
      </w:pPr>
      <w:r>
        <w:rPr>
          <w:rFonts w:hint="eastAsia" w:ascii="黑体" w:hAnsi="黑体" w:eastAsia="黑体" w:cs="黑体"/>
          <w:color w:val="000000"/>
          <w:highlight w:val="none"/>
        </w:rPr>
        <w:t>(3)每学期一般第三周开课(具体时间以通知为准)；</w:t>
      </w:r>
    </w:p>
    <w:p w14:paraId="20D82E6F">
      <w:pPr>
        <w:tabs>
          <w:tab w:val="left" w:pos="900"/>
        </w:tabs>
        <w:ind w:firstLine="315" w:firstLineChars="150"/>
        <w:rPr>
          <w:rFonts w:hint="eastAsia" w:ascii="黑体" w:hAnsi="黑体" w:eastAsia="黑体" w:cs="黑体"/>
          <w:color w:val="000000"/>
          <w:highlight w:val="none"/>
        </w:rPr>
      </w:pPr>
      <w:r>
        <w:rPr>
          <w:rFonts w:hint="eastAsia" w:ascii="黑体" w:hAnsi="黑体" w:eastAsia="黑体" w:cs="黑体"/>
          <w:color w:val="000000"/>
          <w:highlight w:val="none"/>
        </w:rPr>
        <w:t>(4)学生选课时间截止后，不得更改与补选。</w:t>
      </w:r>
    </w:p>
    <w:p w14:paraId="055E2AFC">
      <w:p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8.</w:t>
      </w:r>
      <w:r>
        <w:rPr>
          <w:rFonts w:hint="eastAsia" w:ascii="黑体" w:hAnsi="黑体" w:eastAsia="黑体" w:cs="黑体"/>
          <w:color w:val="000000"/>
          <w:highlight w:val="none"/>
          <w:lang w:val="en-US" w:eastAsia="zh-CN"/>
        </w:rPr>
        <w:t>选修课分为</w:t>
      </w:r>
      <w:r>
        <w:rPr>
          <w:rFonts w:hint="eastAsia" w:ascii="黑体" w:hAnsi="黑体" w:eastAsia="黑体" w:cs="黑体"/>
          <w:color w:val="000000"/>
          <w:highlight w:val="none"/>
          <w:lang w:val="en-US" w:eastAsia="zh-CN"/>
        </w:rPr>
        <w:t>公共选修课和专业选修课，公共选修课分为四大类：人文社科类、自然科技类、艺术体育类、劳动双创类。公共选修课每个类别至少选修1门，专业选修课至少选修2门</w:t>
      </w:r>
      <w:r>
        <w:rPr>
          <w:rFonts w:hint="eastAsia" w:ascii="黑体" w:hAnsi="黑体" w:eastAsia="黑体" w:cs="黑体"/>
          <w:color w:val="000000"/>
          <w:highlight w:val="none"/>
          <w:lang w:val="en-US" w:eastAsia="zh-CN"/>
        </w:rPr>
        <w:t>。</w:t>
      </w:r>
      <w:r>
        <w:rPr>
          <w:rFonts w:hint="eastAsia" w:ascii="黑体" w:hAnsi="黑体" w:eastAsia="黑体" w:cs="黑体"/>
          <w:color w:val="000000"/>
          <w:highlight w:val="none"/>
          <w:lang w:eastAsia="zh-CN"/>
        </w:rPr>
        <w:t>四年制</w:t>
      </w:r>
      <w:r>
        <w:rPr>
          <w:rFonts w:hint="eastAsia" w:ascii="黑体" w:hAnsi="黑体" w:eastAsia="黑体" w:cs="黑体"/>
          <w:color w:val="000000"/>
          <w:highlight w:val="none"/>
        </w:rPr>
        <w:t>本科生选修课学分需修满</w:t>
      </w:r>
      <w:r>
        <w:rPr>
          <w:rFonts w:hint="eastAsia" w:ascii="黑体" w:hAnsi="黑体" w:eastAsia="黑体" w:cs="黑体"/>
          <w:color w:val="000000"/>
          <w:highlight w:val="none"/>
          <w:lang w:val="en-US" w:eastAsia="zh-CN"/>
        </w:rPr>
        <w:t>18学</w:t>
      </w:r>
      <w:r>
        <w:rPr>
          <w:rFonts w:hint="eastAsia" w:ascii="黑体" w:hAnsi="黑体" w:eastAsia="黑体" w:cs="黑体"/>
          <w:color w:val="000000"/>
          <w:highlight w:val="none"/>
        </w:rPr>
        <w:t>分</w:t>
      </w:r>
      <w:r>
        <w:rPr>
          <w:rFonts w:hint="eastAsia" w:ascii="黑体" w:hAnsi="黑体" w:eastAsia="黑体" w:cs="黑体"/>
          <w:color w:val="000000"/>
          <w:highlight w:val="none"/>
        </w:rPr>
        <w:t>，方可毕业；</w:t>
      </w:r>
      <w:r>
        <w:rPr>
          <w:rFonts w:hint="eastAsia" w:ascii="黑体" w:hAnsi="黑体" w:eastAsia="黑体" w:cs="黑体"/>
          <w:color w:val="000000"/>
          <w:highlight w:val="none"/>
          <w:lang w:eastAsia="zh-CN"/>
        </w:rPr>
        <w:t>五年制</w:t>
      </w:r>
      <w:r>
        <w:rPr>
          <w:rFonts w:hint="eastAsia" w:ascii="黑体" w:hAnsi="黑体" w:eastAsia="黑体" w:cs="黑体"/>
          <w:color w:val="000000"/>
          <w:highlight w:val="none"/>
        </w:rPr>
        <w:t>及长学制专业学生选修课学分需修满</w:t>
      </w:r>
      <w:r>
        <w:rPr>
          <w:rFonts w:hint="eastAsia" w:ascii="黑体" w:hAnsi="黑体" w:eastAsia="黑体" w:cs="黑体"/>
          <w:color w:val="000000"/>
          <w:highlight w:val="none"/>
          <w:lang w:val="en-US" w:eastAsia="zh-CN"/>
        </w:rPr>
        <w:t>26学</w:t>
      </w:r>
      <w:r>
        <w:rPr>
          <w:rFonts w:hint="eastAsia" w:ascii="黑体" w:hAnsi="黑体" w:eastAsia="黑体" w:cs="黑体"/>
          <w:color w:val="000000"/>
          <w:highlight w:val="none"/>
        </w:rPr>
        <w:t>分</w:t>
      </w:r>
      <w:r>
        <w:rPr>
          <w:rFonts w:hint="eastAsia" w:ascii="黑体" w:hAnsi="黑体" w:eastAsia="黑体" w:cs="黑体"/>
          <w:color w:val="000000"/>
          <w:highlight w:val="none"/>
        </w:rPr>
        <w:t>，方可毕业。</w:t>
      </w:r>
    </w:p>
    <w:p w14:paraId="6EE8C5B6">
      <w:pPr>
        <w:numPr>
          <w:ilvl w:val="0"/>
          <w:numId w:val="0"/>
        </w:num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9.</w:t>
      </w:r>
      <w:r>
        <w:rPr>
          <w:rFonts w:hint="eastAsia" w:ascii="黑体" w:hAnsi="黑体" w:eastAsia="黑体" w:cs="黑体"/>
          <w:color w:val="000000"/>
          <w:highlight w:val="none"/>
        </w:rPr>
        <w:t>学校开设的人文讲座纳入选修课管理，具体按《南京医科大学关于开展大学生系列人文讲座活动的管理办法》执行。</w:t>
      </w:r>
    </w:p>
    <w:p w14:paraId="48A9F686">
      <w:pPr>
        <w:numPr>
          <w:ilvl w:val="0"/>
          <w:numId w:val="0"/>
        </w:numPr>
        <w:tabs>
          <w:tab w:val="left" w:pos="72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10.</w:t>
      </w:r>
      <w:r>
        <w:rPr>
          <w:rFonts w:hint="eastAsia" w:ascii="黑体" w:hAnsi="黑体" w:eastAsia="黑体" w:cs="黑体"/>
          <w:color w:val="000000"/>
          <w:highlight w:val="none"/>
        </w:rPr>
        <w:t>成绩记载：</w:t>
      </w:r>
      <w:bookmarkStart w:id="0" w:name="_Hlk488746709"/>
      <w:r>
        <w:rPr>
          <w:rFonts w:hint="eastAsia" w:ascii="黑体" w:hAnsi="黑体" w:eastAsia="黑体" w:cs="黑体"/>
          <w:color w:val="000000"/>
          <w:highlight w:val="none"/>
        </w:rPr>
        <w:t>选修课成绩一般建议采用二级制记载办法。</w:t>
      </w:r>
      <w:bookmarkEnd w:id="0"/>
    </w:p>
    <w:p w14:paraId="54570382">
      <w:pPr>
        <w:ind w:firstLine="375" w:firstLineChars="179"/>
        <w:rPr>
          <w:rFonts w:hint="eastAsia" w:ascii="黑体" w:hAnsi="黑体" w:eastAsia="黑体" w:cs="黑体"/>
          <w:color w:val="000000"/>
          <w:highlight w:val="none"/>
        </w:rPr>
      </w:pPr>
    </w:p>
    <w:p w14:paraId="6C12973D">
      <w:pPr>
        <w:ind w:firstLine="375" w:firstLineChars="179"/>
        <w:rPr>
          <w:rFonts w:hint="eastAsia" w:ascii="黑体" w:hAnsi="黑体" w:eastAsia="黑体" w:cs="黑体"/>
          <w:color w:val="000000"/>
          <w:highlight w:val="none"/>
        </w:rPr>
      </w:pPr>
    </w:p>
    <w:p w14:paraId="7CD6DB83">
      <w:pPr>
        <w:ind w:firstLine="375" w:firstLineChars="179"/>
        <w:rPr>
          <w:rFonts w:hint="eastAsia" w:ascii="黑体" w:hAnsi="黑体" w:eastAsia="黑体" w:cs="黑体"/>
          <w:color w:val="000000"/>
          <w:highlight w:val="none"/>
        </w:rPr>
      </w:pPr>
    </w:p>
    <w:p w14:paraId="76151CB7">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9</w:t>
      </w:r>
      <w:r>
        <w:rPr>
          <w:rFonts w:hint="eastAsia" w:ascii="黑体" w:hAnsi="黑体" w:eastAsia="黑体" w:cs="黑体"/>
          <w:color w:val="000000"/>
          <w:sz w:val="28"/>
          <w:szCs w:val="28"/>
          <w:highlight w:val="none"/>
        </w:rPr>
        <w:t xml:space="preserve">  南京医科大学学生证、校徽管理规定</w:t>
      </w:r>
    </w:p>
    <w:p w14:paraId="17FCAE87">
      <w:pPr>
        <w:ind w:firstLine="420" w:firstLineChars="200"/>
        <w:rPr>
          <w:rFonts w:hint="eastAsia" w:ascii="黑体" w:hAnsi="黑体" w:eastAsia="黑体" w:cs="黑体"/>
          <w:color w:val="000000"/>
          <w:highlight w:val="none"/>
        </w:rPr>
      </w:pPr>
    </w:p>
    <w:p w14:paraId="3AD4CC6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学生证、校徽是学生的身份证明，供学生在校学习期间使用，必须妥善保管，不得转借他人。</w:t>
      </w:r>
    </w:p>
    <w:p w14:paraId="2F098ED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新生入学注册并经体检复查合格，取得学籍后发给学生证、校徽。学生毕业、转学、退学或其他原因离校时，必须注销学生证。</w:t>
      </w:r>
    </w:p>
    <w:p w14:paraId="38BADD7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学生证必须在每学期开学报到时注册，未经注册的学生证无效。如家庭地址变更，学生应持当地户籍管理部门证明办理变更手续。私自涂改证件，一经查出，证件无效并视情节给予纪律处分。</w:t>
      </w:r>
    </w:p>
    <w:p w14:paraId="45F988A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学生证遗失，学生应及时</w:t>
      </w:r>
      <w:r>
        <w:rPr>
          <w:rFonts w:hint="eastAsia" w:ascii="黑体" w:hAnsi="黑体" w:eastAsia="黑体" w:cs="黑体"/>
          <w:color w:val="000000"/>
          <w:highlight w:val="none"/>
          <w:lang w:val="en-US" w:eastAsia="zh-Hans"/>
        </w:rPr>
        <w:t>到</w:t>
      </w:r>
      <w:r>
        <w:rPr>
          <w:rFonts w:hint="eastAsia" w:ascii="黑体" w:hAnsi="黑体" w:eastAsia="黑体" w:cs="黑体"/>
          <w:color w:val="000000"/>
          <w:highlight w:val="none"/>
        </w:rPr>
        <w:t>教务科办理补发手续。</w:t>
      </w:r>
    </w:p>
    <w:p w14:paraId="472FF33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学生补办学生证，须由本人提出书面申请，方可办理。</w:t>
      </w:r>
    </w:p>
    <w:p w14:paraId="6C98BD2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学生个人不得同时持有两个学生证或校徽，一经查出，给予纪律处分。</w:t>
      </w:r>
    </w:p>
    <w:p w14:paraId="0AFBB86C">
      <w:pPr>
        <w:tabs>
          <w:tab w:val="left" w:pos="90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7</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学生不得使用他人学生证或校徽，更不得将学生证或校徽转借他人，由此产生的后果，学生自负；同时，学校将视情节给予相应的纪律处分。</w:t>
      </w:r>
    </w:p>
    <w:p w14:paraId="5CF8E3A6">
      <w:pPr>
        <w:ind w:firstLine="375" w:firstLineChars="179"/>
        <w:rPr>
          <w:rFonts w:hint="eastAsia" w:ascii="黑体" w:hAnsi="黑体" w:eastAsia="黑体" w:cs="黑体"/>
          <w:color w:val="000000"/>
          <w:highlight w:val="none"/>
        </w:rPr>
      </w:pPr>
    </w:p>
    <w:p w14:paraId="01D5652C">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z w:val="28"/>
          <w:szCs w:val="28"/>
          <w:highlight w:val="none"/>
        </w:rPr>
        <w:t>附则</w:t>
      </w:r>
      <w:r>
        <w:rPr>
          <w:rFonts w:hint="eastAsia" w:ascii="黑体" w:hAnsi="黑体" w:eastAsia="黑体" w:cs="黑体"/>
          <w:color w:val="000000"/>
          <w:sz w:val="28"/>
          <w:szCs w:val="28"/>
          <w:highlight w:val="none"/>
          <w:lang w:val="en-US" w:eastAsia="zh-CN"/>
        </w:rPr>
        <w:t>10</w:t>
      </w:r>
      <w:r>
        <w:rPr>
          <w:rFonts w:hint="eastAsia" w:ascii="黑体" w:hAnsi="黑体" w:eastAsia="黑体" w:cs="黑体"/>
          <w:color w:val="000000"/>
          <w:sz w:val="28"/>
          <w:szCs w:val="28"/>
          <w:highlight w:val="none"/>
        </w:rPr>
        <w:t xml:space="preserve">  南京医科大学本科生学分制</w:t>
      </w:r>
    </w:p>
    <w:p w14:paraId="1A0938FD">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收费管理暂行办法</w:t>
      </w:r>
    </w:p>
    <w:p w14:paraId="10128D6E">
      <w:pPr>
        <w:tabs>
          <w:tab w:val="left" w:pos="1980"/>
          <w:tab w:val="left" w:pos="3015"/>
        </w:tabs>
        <w:ind w:firstLine="420" w:firstLineChars="200"/>
        <w:rPr>
          <w:rFonts w:hint="eastAsia" w:ascii="黑体" w:hAnsi="黑体" w:eastAsia="黑体" w:cs="黑体"/>
          <w:color w:val="000000"/>
          <w:highlight w:val="none"/>
        </w:rPr>
      </w:pPr>
    </w:p>
    <w:p w14:paraId="3BB7C119">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第一章  总 则</w:t>
      </w:r>
    </w:p>
    <w:p w14:paraId="42DFFCBB">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第一条  学分制收费是按学生修读的学分数计收学费的教育收费管理制度。为深化学分制改革，完善学分制管理，规范收费行为，提高学生学习的主动性和积极性，根据《中华人民共和国教育法》《中华人民共和国高等教育法》《江苏省高等学校收费管理暂行办法》和《江苏省高等学校学分制收费管理暂行办法》等有关规定精神，结合学校实际情况，特制定本办法。</w:t>
      </w:r>
    </w:p>
    <w:p w14:paraId="24DB8247">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第二条  本办法适用于我校在籍的普通全日制本科生和参加换证</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考试的结业学生。</w:t>
      </w:r>
    </w:p>
    <w:p w14:paraId="3FA1675F">
      <w:pPr>
        <w:tabs>
          <w:tab w:val="left" w:pos="1980"/>
          <w:tab w:val="left" w:pos="3015"/>
        </w:tabs>
        <w:ind w:firstLine="420" w:firstLineChars="200"/>
        <w:rPr>
          <w:rFonts w:hint="eastAsia" w:ascii="黑体" w:hAnsi="黑体" w:eastAsia="黑体" w:cs="黑体"/>
          <w:color w:val="000000"/>
          <w:highlight w:val="none"/>
        </w:rPr>
      </w:pPr>
    </w:p>
    <w:p w14:paraId="61C2CB56">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第二章  收费标准</w:t>
      </w:r>
    </w:p>
    <w:p w14:paraId="5260821B">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第三条  学分制学费分为专业学费和学分学费两部分。</w:t>
      </w:r>
    </w:p>
    <w:p w14:paraId="40F295AC">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第四条  结合我校本科生专业培养方案及年生均教育培养成本，</w:t>
      </w:r>
      <w:r>
        <w:rPr>
          <w:rFonts w:hint="eastAsia" w:ascii="黑体" w:hAnsi="黑体" w:eastAsia="黑体" w:cs="黑体"/>
          <w:color w:val="000000"/>
          <w:highlight w:val="none"/>
          <w:lang w:eastAsia="zh-CN"/>
        </w:rPr>
        <w:t>四年制</w:t>
      </w:r>
      <w:r>
        <w:rPr>
          <w:rFonts w:hint="eastAsia" w:ascii="黑体" w:hAnsi="黑体" w:eastAsia="黑体" w:cs="黑体"/>
          <w:color w:val="000000"/>
          <w:highlight w:val="none"/>
        </w:rPr>
        <w:t>的文、理、管理学专业基准学分按140学分计，</w:t>
      </w:r>
      <w:r>
        <w:rPr>
          <w:rFonts w:hint="eastAsia" w:ascii="黑体" w:hAnsi="黑体" w:eastAsia="黑体" w:cs="黑体"/>
          <w:color w:val="000000"/>
          <w:highlight w:val="none"/>
          <w:lang w:eastAsia="zh-CN"/>
        </w:rPr>
        <w:t>四年制</w:t>
      </w:r>
      <w:r>
        <w:rPr>
          <w:rFonts w:hint="eastAsia" w:ascii="黑体" w:hAnsi="黑体" w:eastAsia="黑体" w:cs="黑体"/>
          <w:color w:val="000000"/>
          <w:highlight w:val="none"/>
        </w:rPr>
        <w:t>的工学专业基准学分按152学分计，</w:t>
      </w:r>
      <w:r>
        <w:rPr>
          <w:rFonts w:hint="eastAsia" w:ascii="黑体" w:hAnsi="黑体" w:eastAsia="黑体" w:cs="黑体"/>
          <w:color w:val="000000"/>
          <w:highlight w:val="none"/>
          <w:lang w:eastAsia="zh-CN"/>
        </w:rPr>
        <w:t>五年制</w:t>
      </w:r>
      <w:r>
        <w:rPr>
          <w:rFonts w:hint="eastAsia" w:ascii="黑体" w:hAnsi="黑体" w:eastAsia="黑体" w:cs="黑体"/>
          <w:color w:val="000000"/>
          <w:highlight w:val="none"/>
        </w:rPr>
        <w:t>专业(含5+3本科段前5年)基准学分按225学分计；每学年专业学费为标准学制的学年学费总和减去基准学分的学分学费，再除以专业标准学制。</w:t>
      </w:r>
    </w:p>
    <w:p w14:paraId="0E9B656F">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第五条  学生正常完成规定学业所缴纳的学费总额不高于实行学年制的学费总额，学校专业培养方案规定的毕业最低学分高于基准学分的，超出的学分正常修读免收学分学费。</w:t>
      </w:r>
    </w:p>
    <w:p w14:paraId="5AFE1F4B">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第六条  学生修读的总学分超过本专业培养方案规定的最低学分，超出的学分按标准收取学分学费。</w:t>
      </w:r>
    </w:p>
    <w:p w14:paraId="3193176D">
      <w:pPr>
        <w:tabs>
          <w:tab w:val="left" w:pos="1980"/>
          <w:tab w:val="left" w:pos="5535"/>
        </w:tabs>
        <w:rPr>
          <w:rFonts w:hint="eastAsia" w:ascii="黑体" w:hAnsi="黑体" w:eastAsia="黑体" w:cs="黑体"/>
          <w:color w:val="000000"/>
          <w:highlight w:val="none"/>
        </w:rPr>
      </w:pPr>
    </w:p>
    <w:p w14:paraId="79554837">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 xml:space="preserve">第三章  </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、辅修及学籍异动收费</w:t>
      </w:r>
    </w:p>
    <w:p w14:paraId="5D676EC3">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第七条  对考试不及格而不能取得该课程学分的学生，给予一次免费补考机会。对补考后仍不及格或旷考、取消考试资格，需重新修读取得该课程学分的学生，按标准收取学分学费。</w:t>
      </w:r>
    </w:p>
    <w:p w14:paraId="13074843">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第八条  考核合格课程申请</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，按课程学分交纳学分学费。</w:t>
      </w:r>
    </w:p>
    <w:p w14:paraId="5B7B73B6">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第九条  批准以替代课程</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的，按应修课程和替代课程中低学分交纳学分学费。</w:t>
      </w:r>
    </w:p>
    <w:p w14:paraId="45B83FD8">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 xml:space="preserve">第十条  </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课程，在课程</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选定并交纳相应学费后，取得该门课程的学习资格。</w:t>
      </w:r>
    </w:p>
    <w:p w14:paraId="673461B2">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第十一条  修读“辅修专业”和“第二专业”的学生免收辅修专业和第二专业的专业学费，按所修课程学分收取学分学费。</w:t>
      </w:r>
    </w:p>
    <w:p w14:paraId="299E59DD">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第十二条  对在标准学制年限内不能完成学业，经批准需延长学习时间的学生，按修读课程的学分收费标准收取学分学费，已按标准学制年限缴纳了专业学费的，不再收取专业学费。</w:t>
      </w:r>
    </w:p>
    <w:p w14:paraId="377C5808">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第十三条  学生提前修满学分毕业的，不再收取与该专业标准学制差额年份的专业学费(以半年计)。</w:t>
      </w:r>
    </w:p>
    <w:p w14:paraId="424DD38D">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第十四条  对在校就读期间转专业的学生，如转入专业的专业学费与原专业的不一致，按转入专业的专业学费标准计收专业学费。同时，学生还须按转入专业的学分收费标准缴纳学分学费。</w:t>
      </w:r>
    </w:p>
    <w:p w14:paraId="7B99E006">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第十五条  留降级的学生，根据依次结转的原则按专业学制年限缴纳学费。</w:t>
      </w:r>
    </w:p>
    <w:p w14:paraId="41880AD2">
      <w:pPr>
        <w:tabs>
          <w:tab w:val="left" w:pos="1800"/>
          <w:tab w:val="left" w:pos="1980"/>
        </w:tabs>
        <w:ind w:firstLine="420" w:firstLineChars="200"/>
        <w:rPr>
          <w:rFonts w:hint="eastAsia" w:ascii="黑体" w:hAnsi="黑体" w:eastAsia="黑体" w:cs="黑体"/>
          <w:color w:val="000000"/>
          <w:highlight w:val="none"/>
        </w:rPr>
      </w:pPr>
    </w:p>
    <w:p w14:paraId="23C9BFFB">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第四章  退  费</w:t>
      </w:r>
    </w:p>
    <w:p w14:paraId="73709D16">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第十六条  学生对选定的修读课程有2周的试修读时间，学生在试修读期间可退选课程，免收退选课程的学分学费；修读时间在课程课时一半以内的，免收退选课程50%的学分学费；超过一半的，全额收取退选课程的学分学费。</w:t>
      </w:r>
    </w:p>
    <w:p w14:paraId="04A88448">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第十七条  学生退学、转学、出国等终止学业，在学年第一学期开学一个月内批准的，全额退还其专业学费；超过一个月的退还50%的专业学费。第二学期内批准的不退专业学费。</w:t>
      </w:r>
    </w:p>
    <w:p w14:paraId="1F9E9326">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第十八条  学生因病等原因休、停学或参军的，参照退选课程和退学退费的规定退还学分学费和专业学费，休、停学期满复学，按随读年级和专业的收费标准收取学费。</w:t>
      </w:r>
    </w:p>
    <w:p w14:paraId="67707DA1">
      <w:pPr>
        <w:tabs>
          <w:tab w:val="left" w:pos="1980"/>
          <w:tab w:val="left" w:pos="3015"/>
        </w:tabs>
        <w:ind w:firstLine="420" w:firstLineChars="200"/>
        <w:rPr>
          <w:rFonts w:hint="eastAsia" w:ascii="黑体" w:hAnsi="黑体" w:eastAsia="黑体" w:cs="黑体"/>
          <w:color w:val="000000"/>
          <w:highlight w:val="none"/>
        </w:rPr>
      </w:pPr>
    </w:p>
    <w:p w14:paraId="3E4E07A2">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第五章  收费管理</w:t>
      </w:r>
    </w:p>
    <w:p w14:paraId="59E3FABD">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第十九条  新生入学第一学年初按所学专业学年收费标准预收学费，在下一学年开学时，学校根据学生上一学年实际所修的学分，按多退少补的原则进行学费结算，第二学年及以后按学生选修学分数收费。</w:t>
      </w:r>
    </w:p>
    <w:p w14:paraId="2C98E696">
      <w:pPr>
        <w:tabs>
          <w:tab w:val="left" w:pos="1980"/>
          <w:tab w:val="left" w:pos="2295"/>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第二十条  修读辅修专业、第二专业和课程</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的学分学费单独收取。</w:t>
      </w:r>
    </w:p>
    <w:p w14:paraId="25FD5EFF">
      <w:pPr>
        <w:tabs>
          <w:tab w:val="left" w:pos="1980"/>
          <w:tab w:val="left" w:pos="2295"/>
          <w:tab w:val="left" w:pos="234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第二十一条  按规定缴纳学费或办理缓交手续的学生方可注册和选课。</w:t>
      </w:r>
    </w:p>
    <w:p w14:paraId="4B1D1D29">
      <w:pPr>
        <w:tabs>
          <w:tab w:val="left" w:pos="1980"/>
          <w:tab w:val="left" w:pos="3015"/>
        </w:tabs>
        <w:ind w:firstLine="420" w:firstLineChars="200"/>
        <w:rPr>
          <w:rFonts w:hint="eastAsia" w:ascii="黑体" w:hAnsi="黑体" w:eastAsia="黑体" w:cs="黑体"/>
          <w:color w:val="000000"/>
          <w:highlight w:val="none"/>
        </w:rPr>
      </w:pPr>
    </w:p>
    <w:p w14:paraId="42312460">
      <w:pPr>
        <w:tabs>
          <w:tab w:val="left" w:pos="1980"/>
          <w:tab w:val="left" w:pos="3015"/>
        </w:tabs>
        <w:jc w:val="center"/>
        <w:rPr>
          <w:rFonts w:hint="eastAsia" w:ascii="黑体" w:hAnsi="黑体" w:eastAsia="黑体" w:cs="黑体"/>
          <w:color w:val="000000"/>
          <w:highlight w:val="none"/>
        </w:rPr>
      </w:pPr>
      <w:r>
        <w:rPr>
          <w:rFonts w:hint="eastAsia" w:ascii="黑体" w:hAnsi="黑体" w:eastAsia="黑体" w:cs="黑体"/>
          <w:color w:val="000000"/>
          <w:highlight w:val="none"/>
        </w:rPr>
        <w:t>第六章  附  则</w:t>
      </w:r>
    </w:p>
    <w:p w14:paraId="4C675AF9">
      <w:pPr>
        <w:tabs>
          <w:tab w:val="left" w:pos="1980"/>
          <w:tab w:val="left" w:pos="2295"/>
          <w:tab w:val="left" w:pos="2340"/>
        </w:tabs>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第二十二条  本办法自2012级(含转、降入2012级)普通高等教育全日制本科学生开始执行。</w:t>
      </w:r>
    </w:p>
    <w:p w14:paraId="1AD8BD0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第二十三条  本办法由教务处、财务处在各自职责范围内负责解释。</w:t>
      </w:r>
    </w:p>
    <w:p w14:paraId="36BCAB27">
      <w:pPr>
        <w:spacing w:line="360" w:lineRule="auto"/>
        <w:rPr>
          <w:rFonts w:hint="eastAsia" w:ascii="黑体" w:hAnsi="黑体" w:eastAsia="黑体" w:cs="黑体"/>
          <w:color w:val="000000"/>
          <w:sz w:val="24"/>
          <w:szCs w:val="24"/>
          <w:highlight w:val="none"/>
        </w:rPr>
      </w:pPr>
    </w:p>
    <w:p w14:paraId="7D7FBB0D">
      <w:pPr>
        <w:spacing w:line="440" w:lineRule="exact"/>
        <w:jc w:val="center"/>
        <w:rPr>
          <w:rFonts w:hint="eastAsia" w:ascii="黑体" w:hAnsi="黑体" w:eastAsia="黑体" w:cs="黑体"/>
          <w:color w:val="000000"/>
          <w:spacing w:val="-4"/>
          <w:sz w:val="28"/>
          <w:szCs w:val="28"/>
          <w:highlight w:val="none"/>
        </w:rPr>
      </w:pPr>
      <w:r>
        <w:rPr>
          <w:rFonts w:hint="eastAsia" w:ascii="黑体" w:hAnsi="黑体" w:eastAsia="黑体" w:cs="黑体"/>
          <w:color w:val="000000"/>
          <w:sz w:val="24"/>
          <w:szCs w:val="24"/>
          <w:highlight w:val="none"/>
        </w:rPr>
        <w:br w:type="page"/>
      </w:r>
      <w:r>
        <w:rPr>
          <w:rFonts w:hint="eastAsia" w:ascii="黑体" w:hAnsi="黑体" w:eastAsia="黑体" w:cs="黑体"/>
          <w:color w:val="000000"/>
          <w:spacing w:val="-4"/>
          <w:sz w:val="28"/>
          <w:szCs w:val="28"/>
          <w:highlight w:val="none"/>
        </w:rPr>
        <w:t>附则</w:t>
      </w:r>
      <w:r>
        <w:rPr>
          <w:rFonts w:hint="eastAsia" w:ascii="黑体" w:hAnsi="黑体" w:eastAsia="黑体" w:cs="黑体"/>
          <w:color w:val="000000"/>
          <w:spacing w:val="-4"/>
          <w:sz w:val="28"/>
          <w:szCs w:val="28"/>
          <w:highlight w:val="none"/>
          <w:lang w:val="en-US" w:eastAsia="zh-CN"/>
        </w:rPr>
        <w:t>11</w:t>
      </w:r>
      <w:r>
        <w:rPr>
          <w:rFonts w:hint="eastAsia" w:ascii="黑体" w:hAnsi="黑体" w:eastAsia="黑体" w:cs="黑体"/>
          <w:color w:val="000000"/>
          <w:spacing w:val="-4"/>
          <w:sz w:val="28"/>
          <w:szCs w:val="28"/>
          <w:highlight w:val="none"/>
        </w:rPr>
        <w:t xml:space="preserve">  南京医科大学少数民族特招生学籍管理</w:t>
      </w:r>
    </w:p>
    <w:p w14:paraId="2272082E">
      <w:pPr>
        <w:spacing w:line="440" w:lineRule="exact"/>
        <w:jc w:val="center"/>
        <w:rPr>
          <w:rFonts w:hint="eastAsia" w:ascii="黑体" w:hAnsi="黑体" w:eastAsia="黑体" w:cs="黑体"/>
          <w:color w:val="000000"/>
          <w:highlight w:val="none"/>
        </w:rPr>
      </w:pPr>
      <w:r>
        <w:rPr>
          <w:rFonts w:hint="eastAsia" w:ascii="黑体" w:hAnsi="黑体" w:eastAsia="黑体" w:cs="黑体"/>
          <w:color w:val="000000"/>
          <w:spacing w:val="-4"/>
          <w:sz w:val="28"/>
          <w:szCs w:val="28"/>
          <w:highlight w:val="none"/>
        </w:rPr>
        <w:t>补充规定</w:t>
      </w:r>
      <w:r>
        <w:rPr>
          <w:rFonts w:hint="eastAsia" w:ascii="黑体" w:hAnsi="黑体" w:eastAsia="黑体" w:cs="黑体"/>
          <w:color w:val="000000"/>
          <w:sz w:val="24"/>
          <w:szCs w:val="24"/>
          <w:highlight w:val="none"/>
        </w:rPr>
        <w:t>(2020年修订)</w:t>
      </w:r>
    </w:p>
    <w:p w14:paraId="30C4BBE9">
      <w:pPr>
        <w:ind w:firstLine="420" w:firstLineChars="200"/>
        <w:rPr>
          <w:rFonts w:hint="eastAsia" w:ascii="黑体" w:hAnsi="黑体" w:eastAsia="黑体" w:cs="黑体"/>
          <w:color w:val="000000"/>
          <w:highlight w:val="none"/>
        </w:rPr>
      </w:pPr>
    </w:p>
    <w:p w14:paraId="73AC1EB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了落实国家支援西部地区的建设计划，贯彻国家关于招收培养少数民族学生的有关文件精神和要求，促进少数民族特招生的学习和成长，保证人才培养质量，培养合格的医学人才，结合少数民族特招生的特点和我校本科生学籍管理规定，特制定本补充规定。</w:t>
      </w:r>
    </w:p>
    <w:p w14:paraId="2FFBE66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本规定适用的“少数民族特招生”是指来自新疆、西藏的学生通过特殊招考进入我校本科阶段学习的学生(内地西藏班、新疆高中班、新疆定向生、中西部协作计划、内地高等学校支援新疆协作计划(民考汉类)等)。</w:t>
      </w:r>
    </w:p>
    <w:p w14:paraId="79C5905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一、课程修读和教学安排</w:t>
      </w:r>
    </w:p>
    <w:p w14:paraId="57160ED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1.根据人才培养方案，少数民族特招生根据录取专业编入相应班级学习，符合单独编班人数的(相同专业超过30人)，单独编班。</w:t>
      </w:r>
    </w:p>
    <w:p w14:paraId="1A0FDA1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2.少数民族特招生的教学安排实行按专业、按年级管理。</w:t>
      </w:r>
    </w:p>
    <w:p w14:paraId="1040617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考虑到学生毕业后，需参加国家的行业准入考试，因此，专业基础课、专业课、专业实习的要求根据专业培养方案，不再另行规定，即与同班同学要求一致。但在学习过程中，相关学科应给予少数民族特招生更多的关注。</w:t>
      </w:r>
    </w:p>
    <w:p w14:paraId="070CBF9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4.考虑到中学基础的差异性，对于通识教育的部分课程(包括数学、物理、化学、计算机、统计学、英语类课程等)少数民族特招生适当降低要求。</w:t>
      </w:r>
    </w:p>
    <w:p w14:paraId="683DA3B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二、课程考核与成绩记载</w:t>
      </w:r>
    </w:p>
    <w:p w14:paraId="7BFD208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1.少数民族特招生必须参加教学计划规定的课程考核。</w:t>
      </w:r>
    </w:p>
    <w:p w14:paraId="5010A57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2.少数民族特招生成绩记载：</w:t>
      </w:r>
    </w:p>
    <w:p w14:paraId="6F317B5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⑴ 通识教育的部分课程(包括数学、物理、化学、计算机、统计学、英语类课程等)课程考试成绩在45分(含45分)—59分之间，按60分记载。课程考试成绩在60分以上，按实际取得的分数记载。课程考试成绩在45分以下时，必须补考或</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w:t>
      </w:r>
    </w:p>
    <w:p w14:paraId="7E60A27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⑵ 专业基础课、专业课、专业实习等课程以及国家规定的政治、体育、军事训练等课程考试成绩如实记载，60分(含60分)及格，课程考试成绩在60分以下时，必须补考或</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w:t>
      </w:r>
    </w:p>
    <w:p w14:paraId="134169F9">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少数民族特招生</w:t>
      </w:r>
      <w:r>
        <w:rPr>
          <w:rFonts w:hint="eastAsia" w:ascii="黑体" w:hAnsi="黑体" w:eastAsia="黑体" w:cs="黑体"/>
          <w:color w:val="000000"/>
          <w:highlight w:val="none"/>
          <w:lang w:eastAsia="zh-CN"/>
        </w:rPr>
        <w:t>重修</w:t>
      </w:r>
    </w:p>
    <w:p w14:paraId="328C454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少数民族特招生参加</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考试，</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费的收取与普通学生一致，如</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考试通过，当学期通过课程的</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费作为奖励金予以返还。每学期开学第一个月本人提交书面申请到教务处教务科，教务科审核后统一报财务处办理。</w:t>
      </w:r>
    </w:p>
    <w:p w14:paraId="16E35FA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三、学年认定与弹性学习年限</w:t>
      </w:r>
    </w:p>
    <w:p w14:paraId="6793B04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1.少数民族特招生在进入下一学年学习之前，所修专业核心课程累计有20学分未能取得或累计仍有8门必修课程不及格或因故无成绩(分学期教学的课程，每学期按一门计)者，不得修读下一学年课程。</w:t>
      </w:r>
    </w:p>
    <w:p w14:paraId="7F6BB35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2.因个人原因不能按期完成学业的少数民族特招生可申请延长学习年限，</w:t>
      </w:r>
      <w:r>
        <w:rPr>
          <w:rFonts w:hint="eastAsia" w:ascii="黑体" w:hAnsi="黑体" w:eastAsia="黑体" w:cs="黑体"/>
          <w:color w:val="000000"/>
          <w:highlight w:val="none"/>
          <w:lang w:eastAsia="zh-CN"/>
        </w:rPr>
        <w:t>四年制</w:t>
      </w:r>
      <w:r>
        <w:rPr>
          <w:rFonts w:hint="eastAsia" w:ascii="黑体" w:hAnsi="黑体" w:eastAsia="黑体" w:cs="黑体"/>
          <w:color w:val="000000"/>
          <w:highlight w:val="none"/>
        </w:rPr>
        <w:t>和</w:t>
      </w:r>
      <w:r>
        <w:rPr>
          <w:rFonts w:hint="eastAsia" w:ascii="黑体" w:hAnsi="黑体" w:eastAsia="黑体" w:cs="黑体"/>
          <w:color w:val="000000"/>
          <w:highlight w:val="none"/>
          <w:lang w:eastAsia="zh-CN"/>
        </w:rPr>
        <w:t>五年制</w:t>
      </w:r>
      <w:r>
        <w:rPr>
          <w:rFonts w:hint="eastAsia" w:ascii="黑体" w:hAnsi="黑体" w:eastAsia="黑体" w:cs="黑体"/>
          <w:color w:val="000000"/>
          <w:highlight w:val="none"/>
        </w:rPr>
        <w:t>本科生在校最长学习年限分别为七年和八年。</w:t>
      </w:r>
    </w:p>
    <w:p w14:paraId="59F2B79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四、毕业</w:t>
      </w:r>
    </w:p>
    <w:p w14:paraId="78ACBFF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少数民族特招生在弹性学习年限内完成教学计划规定的全部课程，德、智、体合格，取得本专业规定的学分(包括选修课)，准予毕业，发给毕业证书。</w:t>
      </w:r>
    </w:p>
    <w:p w14:paraId="37CAA8F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五、学位授予</w:t>
      </w:r>
    </w:p>
    <w:p w14:paraId="29BFB6E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学校对少数民族特招生取得学士学位除国家大学英语四级考试、省(或国家)计算等级考试、核心课程平均学分绩点不作要求外，其余均与《南京医科大学学士学位授予实施细则》有关要求相同，经校学位评定委员会审议批准后，可授予学士学位。</w:t>
      </w:r>
    </w:p>
    <w:p w14:paraId="2EAFBC8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六、其它</w:t>
      </w:r>
    </w:p>
    <w:p w14:paraId="12F8956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1.少数民族特招生在校学习期间，除特别规定外，其它均按《南京医科大学全日制本科生学籍管理规定》中的有关内容管理。</w:t>
      </w:r>
    </w:p>
    <w:p w14:paraId="4670B99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2.如少数民族招生政策调整，少数民族特招生的特殊招考界定解释权在教务处。</w:t>
      </w:r>
    </w:p>
    <w:p w14:paraId="4A0F794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3.本规定由学校教务处负责解释；此规定自2020级学生起执行，原《南京医科大学少数民族特招生学籍管理补充规定》同时废止。</w:t>
      </w:r>
    </w:p>
    <w:p w14:paraId="0EEBC915">
      <w:pPr>
        <w:ind w:firstLine="420" w:firstLineChars="200"/>
        <w:rPr>
          <w:rFonts w:hint="eastAsia" w:ascii="黑体" w:hAnsi="黑体" w:eastAsia="黑体" w:cs="黑体"/>
          <w:color w:val="000000"/>
          <w:highlight w:val="none"/>
        </w:rPr>
      </w:pPr>
    </w:p>
    <w:p w14:paraId="2931E6CE">
      <w:pPr>
        <w:ind w:firstLine="420" w:firstLineChars="200"/>
        <w:rPr>
          <w:rFonts w:hint="eastAsia" w:ascii="黑体" w:hAnsi="黑体" w:eastAsia="黑体" w:cs="黑体"/>
          <w:color w:val="000000"/>
          <w:highlight w:val="none"/>
        </w:rPr>
      </w:pPr>
    </w:p>
    <w:p w14:paraId="61DFB8D9">
      <w:pPr>
        <w:spacing w:line="440" w:lineRule="exact"/>
        <w:jc w:val="center"/>
        <w:rPr>
          <w:rFonts w:hint="eastAsia" w:ascii="黑体" w:hAnsi="黑体" w:eastAsia="黑体" w:cs="黑体"/>
          <w:color w:val="000000"/>
          <w:spacing w:val="-4"/>
          <w:sz w:val="28"/>
          <w:szCs w:val="28"/>
          <w:highlight w:val="none"/>
        </w:rPr>
      </w:pPr>
      <w:r>
        <w:rPr>
          <w:rFonts w:hint="eastAsia" w:ascii="黑体" w:hAnsi="黑体" w:eastAsia="黑体" w:cs="黑体"/>
          <w:color w:val="000000"/>
          <w:highlight w:val="none"/>
        </w:rPr>
        <w:br w:type="page"/>
      </w:r>
      <w:r>
        <w:rPr>
          <w:rFonts w:hint="eastAsia" w:ascii="黑体" w:hAnsi="黑体" w:eastAsia="黑体" w:cs="黑体"/>
          <w:color w:val="000000"/>
          <w:spacing w:val="-4"/>
          <w:sz w:val="28"/>
          <w:szCs w:val="28"/>
          <w:highlight w:val="none"/>
        </w:rPr>
        <w:t>附则</w:t>
      </w:r>
      <w:r>
        <w:rPr>
          <w:rFonts w:hint="eastAsia" w:ascii="黑体" w:hAnsi="黑体" w:eastAsia="黑体" w:cs="黑体"/>
          <w:color w:val="000000"/>
          <w:spacing w:val="-4"/>
          <w:sz w:val="28"/>
          <w:szCs w:val="28"/>
          <w:highlight w:val="none"/>
          <w:lang w:val="en-US" w:eastAsia="zh-CN"/>
        </w:rPr>
        <w:t>12</w:t>
      </w:r>
      <w:r>
        <w:rPr>
          <w:rFonts w:hint="eastAsia" w:ascii="黑体" w:hAnsi="黑体" w:eastAsia="黑体" w:cs="黑体"/>
          <w:color w:val="000000"/>
          <w:spacing w:val="-4"/>
          <w:sz w:val="28"/>
          <w:szCs w:val="28"/>
          <w:highlight w:val="none"/>
        </w:rPr>
        <w:t xml:space="preserve">   南京医科大学港澳台侨学生学籍管理</w:t>
      </w:r>
    </w:p>
    <w:p w14:paraId="2F0DB916">
      <w:pPr>
        <w:spacing w:line="440" w:lineRule="exact"/>
        <w:jc w:val="center"/>
        <w:rPr>
          <w:rFonts w:hint="eastAsia" w:ascii="黑体" w:hAnsi="黑体" w:eastAsia="黑体" w:cs="黑体"/>
          <w:color w:val="000000"/>
          <w:spacing w:val="-4"/>
          <w:sz w:val="24"/>
          <w:szCs w:val="24"/>
          <w:highlight w:val="none"/>
        </w:rPr>
      </w:pPr>
      <w:r>
        <w:rPr>
          <w:rFonts w:hint="eastAsia" w:ascii="黑体" w:hAnsi="黑体" w:eastAsia="黑体" w:cs="黑体"/>
          <w:color w:val="000000"/>
          <w:spacing w:val="-4"/>
          <w:sz w:val="28"/>
          <w:szCs w:val="28"/>
          <w:highlight w:val="none"/>
        </w:rPr>
        <w:t>补充规定</w:t>
      </w:r>
      <w:r>
        <w:rPr>
          <w:rFonts w:hint="eastAsia" w:ascii="黑体" w:hAnsi="黑体" w:eastAsia="黑体" w:cs="黑体"/>
          <w:color w:val="000000"/>
          <w:spacing w:val="-4"/>
          <w:sz w:val="24"/>
          <w:szCs w:val="24"/>
          <w:highlight w:val="none"/>
        </w:rPr>
        <w:t>(202</w:t>
      </w:r>
      <w:r>
        <w:rPr>
          <w:rFonts w:hint="eastAsia" w:ascii="黑体" w:hAnsi="黑体" w:eastAsia="黑体" w:cs="黑体"/>
          <w:color w:val="000000"/>
          <w:spacing w:val="-4"/>
          <w:sz w:val="24"/>
          <w:szCs w:val="24"/>
          <w:highlight w:val="none"/>
          <w:lang w:val="en-US" w:eastAsia="zh-CN"/>
        </w:rPr>
        <w:t>2</w:t>
      </w:r>
      <w:r>
        <w:rPr>
          <w:rFonts w:hint="eastAsia" w:ascii="黑体" w:hAnsi="黑体" w:eastAsia="黑体" w:cs="黑体"/>
          <w:color w:val="000000"/>
          <w:spacing w:val="-4"/>
          <w:sz w:val="24"/>
          <w:szCs w:val="24"/>
          <w:highlight w:val="none"/>
        </w:rPr>
        <w:t>年修订)</w:t>
      </w:r>
    </w:p>
    <w:p w14:paraId="0AF4A88C">
      <w:pPr>
        <w:widowControl/>
        <w:spacing w:line="360" w:lineRule="exact"/>
        <w:ind w:firstLine="420" w:firstLineChars="200"/>
        <w:rPr>
          <w:rFonts w:hint="eastAsia" w:ascii="黑体" w:hAnsi="黑体" w:eastAsia="黑体" w:cs="黑体"/>
          <w:color w:val="000000"/>
          <w:highlight w:val="none"/>
        </w:rPr>
      </w:pPr>
    </w:p>
    <w:p w14:paraId="42482F62">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了贯彻落实国家有关文件精神，加强对在校港澳台侨学生的教育教学和生活管理，保证教育教学质量，促进学生学习和成长，培养合格的医学人才，结合港澳台侨招生的特点和我校本科生学籍管理规定，特制定本补充规定。</w:t>
      </w:r>
    </w:p>
    <w:p w14:paraId="1C1A4F09">
      <w:pPr>
        <w:widowControl/>
        <w:ind w:firstLine="420" w:firstLineChars="200"/>
        <w:rPr>
          <w:rFonts w:hint="eastAsia" w:ascii="黑体" w:hAnsi="黑体" w:eastAsia="黑体" w:cs="黑体"/>
          <w:color w:val="000000"/>
          <w:highlight w:val="none"/>
          <w:shd w:val="clear"/>
        </w:rPr>
      </w:pPr>
      <w:r>
        <w:rPr>
          <w:rFonts w:hint="eastAsia" w:ascii="黑体" w:hAnsi="黑体" w:eastAsia="黑体" w:cs="黑体"/>
          <w:color w:val="000000"/>
          <w:highlight w:val="none"/>
        </w:rPr>
        <w:t>本规定适用的“港澳台侨学生”</w:t>
      </w:r>
      <w:r>
        <w:rPr>
          <w:rFonts w:hint="eastAsia" w:ascii="黑体" w:hAnsi="黑体" w:eastAsia="黑体" w:cs="黑体"/>
          <w:color w:val="000000"/>
          <w:highlight w:val="none"/>
          <w:shd w:val="clear"/>
        </w:rPr>
        <w:t>是指我校通过普通高等学校联合招收华侨港澳台学生、普通高等学校依据台湾地区大学入学考试学科能力测试成绩招收台湾高中毕业生、中国内地普通高校联合招收澳门保送生等录取方式，在香港特别行政区、澳门地区及台湾省的招生。</w:t>
      </w:r>
    </w:p>
    <w:p w14:paraId="177270FC">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一、课程修读和教学安排</w:t>
      </w:r>
    </w:p>
    <w:p w14:paraId="5508BF37">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1.根据人才培养方案，港澳台侨学生根据录取专业编入相应班级学习。</w:t>
      </w:r>
    </w:p>
    <w:p w14:paraId="0AE2BFCC">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2.教学安排实行按专业、按年级管理。</w:t>
      </w:r>
    </w:p>
    <w:p w14:paraId="514148FF">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3.专业基础课、专业课、专业实习的要求根据专业培养方案，无另行规定的即与同专业同学要求一致。</w:t>
      </w:r>
    </w:p>
    <w:p w14:paraId="48461AF8">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二、课程考核与成绩记载</w:t>
      </w:r>
    </w:p>
    <w:p w14:paraId="0F2429E8">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1.港澳台侨学生必须参加教学计划规定的课程考核。</w:t>
      </w:r>
    </w:p>
    <w:p w14:paraId="77C0E77B">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2.成绩记载：</w:t>
      </w:r>
    </w:p>
    <w:p w14:paraId="78A8D903">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(1)公共基础课的部分课程(包括高等数学、</w:t>
      </w:r>
      <w:r>
        <w:rPr>
          <w:rFonts w:hint="eastAsia" w:ascii="黑体" w:hAnsi="黑体" w:eastAsia="黑体" w:cs="黑体"/>
          <w:color w:val="000000"/>
          <w:highlight w:val="none"/>
          <w:lang w:val="en-US" w:eastAsia="zh-CN"/>
        </w:rPr>
        <w:t>医用</w:t>
      </w:r>
      <w:r>
        <w:rPr>
          <w:rFonts w:hint="eastAsia" w:ascii="黑体" w:hAnsi="黑体" w:eastAsia="黑体" w:cs="黑体"/>
          <w:color w:val="000000"/>
          <w:highlight w:val="none"/>
        </w:rPr>
        <w:t>物理学)，课程考试成绩在45分(含)—59分(含)之间，按60分记载。课程考试成绩在60分以上，按实际取得的分数记载。课程考试成绩在45分以下时，必须补考或</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w:t>
      </w:r>
    </w:p>
    <w:p w14:paraId="70B640A2">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公共基础课的部分课程(包括军事理论、思想道德与法治、毛泽东思想和中国特色社会主义理论体系概论、习近平新时代中国特色社会主义思想概论、马克思主义基本原理、中国近现代史纲要、形势与政策等)，港澳台侨学生可免修。政治课和军训课学分可以其他国情类课程学分替代。</w:t>
      </w:r>
    </w:p>
    <w:p w14:paraId="5D408D00">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(3)上述(1)(2)条以外的公共基础课、专业基础课、专业课、专业实习等课程考试成绩如实记载，60分(含)及格，课程考试成绩在60分以下时，必须补考或</w:t>
      </w:r>
      <w:r>
        <w:rPr>
          <w:rFonts w:hint="eastAsia" w:ascii="黑体" w:hAnsi="黑体" w:eastAsia="黑体" w:cs="黑体"/>
          <w:color w:val="000000"/>
          <w:highlight w:val="none"/>
          <w:lang w:eastAsia="zh-CN"/>
        </w:rPr>
        <w:t>重修</w:t>
      </w:r>
      <w:r>
        <w:rPr>
          <w:rFonts w:hint="eastAsia" w:ascii="黑体" w:hAnsi="黑体" w:eastAsia="黑体" w:cs="黑体"/>
          <w:color w:val="000000"/>
          <w:highlight w:val="none"/>
        </w:rPr>
        <w:t>。</w:t>
      </w:r>
    </w:p>
    <w:p w14:paraId="58EF0931">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三、学年认定与弹性学习年限</w:t>
      </w:r>
    </w:p>
    <w:p w14:paraId="3305E42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1.港澳台侨学生在进入下一学年学习之前，所修专业核心课程累计有20学分未能取得或累计仍有8门必修课程不及格或因故无成绩(分学期教学的课程，每学期按一门计)者，不得修读下一学年课程。</w:t>
      </w:r>
    </w:p>
    <w:p w14:paraId="11B1A323">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2.因个人原因不能按期完成学业的港澳台侨学生可申请延长学习年限，</w:t>
      </w:r>
      <w:r>
        <w:rPr>
          <w:rFonts w:hint="eastAsia" w:ascii="黑体" w:hAnsi="黑体" w:eastAsia="黑体" w:cs="黑体"/>
          <w:color w:val="000000"/>
          <w:highlight w:val="none"/>
          <w:lang w:eastAsia="zh-CN"/>
        </w:rPr>
        <w:t>四年制</w:t>
      </w:r>
      <w:r>
        <w:rPr>
          <w:rFonts w:hint="eastAsia" w:ascii="黑体" w:hAnsi="黑体" w:eastAsia="黑体" w:cs="黑体"/>
          <w:color w:val="000000"/>
          <w:highlight w:val="none"/>
        </w:rPr>
        <w:t>和</w:t>
      </w:r>
      <w:r>
        <w:rPr>
          <w:rFonts w:hint="eastAsia" w:ascii="黑体" w:hAnsi="黑体" w:eastAsia="黑体" w:cs="黑体"/>
          <w:color w:val="000000"/>
          <w:highlight w:val="none"/>
          <w:lang w:eastAsia="zh-CN"/>
        </w:rPr>
        <w:t>五年制</w:t>
      </w:r>
      <w:r>
        <w:rPr>
          <w:rFonts w:hint="eastAsia" w:ascii="黑体" w:hAnsi="黑体" w:eastAsia="黑体" w:cs="黑体"/>
          <w:color w:val="000000"/>
          <w:highlight w:val="none"/>
        </w:rPr>
        <w:t>本科生在校最长学习年限分别为七年和八年。</w:t>
      </w:r>
    </w:p>
    <w:p w14:paraId="0E12733B">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四、毕业</w:t>
      </w:r>
    </w:p>
    <w:p w14:paraId="43A43D57">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港澳台侨学生在弹性学习年限内完成教学计划规定的全部课程，德、智、体合格，取得本专业规定的学分(包括选修课)，准予毕业，发给毕业证书。</w:t>
      </w:r>
    </w:p>
    <w:p w14:paraId="78995AFF">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五、学位授予</w:t>
      </w:r>
    </w:p>
    <w:p w14:paraId="0682BF82">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同《南京医科大学学士学位授予实施细则(20</w:t>
      </w:r>
      <w:r>
        <w:rPr>
          <w:rFonts w:hint="eastAsia" w:ascii="黑体" w:hAnsi="黑体" w:eastAsia="黑体" w:cs="黑体"/>
          <w:color w:val="000000"/>
          <w:highlight w:val="none"/>
          <w:lang w:val="en-US" w:eastAsia="zh-CN"/>
        </w:rPr>
        <w:t>21</w:t>
      </w:r>
      <w:r>
        <w:rPr>
          <w:rFonts w:hint="eastAsia" w:ascii="黑体" w:hAnsi="黑体" w:eastAsia="黑体" w:cs="黑体"/>
          <w:color w:val="000000"/>
          <w:highlight w:val="none"/>
        </w:rPr>
        <w:t>年修订)》。</w:t>
      </w:r>
    </w:p>
    <w:p w14:paraId="2C4399E5">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六、其它</w:t>
      </w:r>
    </w:p>
    <w:p w14:paraId="746FFE82">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1.港澳台侨学生在校学习期间，除特别规定外，其余均按《南京医科大学全日制本科生学籍管理规定》中的有关内容管理。</w:t>
      </w:r>
    </w:p>
    <w:p w14:paraId="6F085D4C">
      <w:pPr>
        <w:widowControl/>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2.本规定自2020年9月1日起从2020级执行，其他有关文件规定如与本规定不一致的，以本规定为准。本规定由学校教务处、港澳台办公室负责解释。</w:t>
      </w:r>
    </w:p>
    <w:sectPr>
      <w:footerReference r:id="rId3" w:type="default"/>
      <w:pgSz w:w="7938" w:h="11510"/>
      <w:pgMar w:top="1134" w:right="851" w:bottom="1021" w:left="709"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6D51">
    <w:pPr>
      <w:pStyle w:val="5"/>
      <w:framePr w:wrap="around" w:vAnchor="text" w:hAnchor="margin" w:xAlign="center" w:y="1"/>
      <w:rPr>
        <w:rStyle w:val="10"/>
        <w:rFonts w:eastAsia="华文中宋"/>
      </w:rPr>
    </w:pPr>
    <w:r>
      <w:rPr>
        <w:rStyle w:val="10"/>
        <w:rFonts w:eastAsia="华文中宋"/>
      </w:rPr>
      <w:t xml:space="preserve">— </w:t>
    </w:r>
    <w:r>
      <w:rPr>
        <w:rFonts w:eastAsia="华文中宋"/>
      </w:rPr>
      <w:fldChar w:fldCharType="begin"/>
    </w:r>
    <w:r>
      <w:rPr>
        <w:rStyle w:val="10"/>
        <w:rFonts w:eastAsia="华文中宋"/>
      </w:rPr>
      <w:instrText xml:space="preserve">PAGE  </w:instrText>
    </w:r>
    <w:r>
      <w:rPr>
        <w:rFonts w:eastAsia="华文中宋"/>
      </w:rPr>
      <w:fldChar w:fldCharType="separate"/>
    </w:r>
    <w:r>
      <w:rPr>
        <w:rStyle w:val="10"/>
        <w:rFonts w:eastAsia="华文中宋"/>
      </w:rPr>
      <w:t>63</w:t>
    </w:r>
    <w:r>
      <w:rPr>
        <w:rFonts w:eastAsia="华文中宋"/>
      </w:rPr>
      <w:fldChar w:fldCharType="end"/>
    </w:r>
    <w:r>
      <w:rPr>
        <w:rStyle w:val="10"/>
        <w:rFonts w:eastAsia="华文中宋"/>
      </w:rPr>
      <w:t xml:space="preserve"> —</w:t>
    </w:r>
  </w:p>
  <w:p w14:paraId="2BCB561C">
    <w:pPr>
      <w:pStyle w:val="5"/>
      <w:rPr>
        <w:rFonts w:eastAsia="华文中宋"/>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DkzZDkwZmUxM2MzYTUwMDU1MDJkNWU2NWI2MDkifQ=="/>
  </w:docVars>
  <w:rsids>
    <w:rsidRoot w:val="005211FD"/>
    <w:rsid w:val="00000881"/>
    <w:rsid w:val="000045BD"/>
    <w:rsid w:val="00005275"/>
    <w:rsid w:val="000132D1"/>
    <w:rsid w:val="00015FB2"/>
    <w:rsid w:val="0001736A"/>
    <w:rsid w:val="0002070C"/>
    <w:rsid w:val="00020936"/>
    <w:rsid w:val="00020B7A"/>
    <w:rsid w:val="00020CBE"/>
    <w:rsid w:val="0002190F"/>
    <w:rsid w:val="000239AA"/>
    <w:rsid w:val="00025A17"/>
    <w:rsid w:val="00036729"/>
    <w:rsid w:val="00036E2B"/>
    <w:rsid w:val="0004427C"/>
    <w:rsid w:val="00045271"/>
    <w:rsid w:val="00046192"/>
    <w:rsid w:val="0004671A"/>
    <w:rsid w:val="00050268"/>
    <w:rsid w:val="00057234"/>
    <w:rsid w:val="000577D7"/>
    <w:rsid w:val="000607AF"/>
    <w:rsid w:val="00067145"/>
    <w:rsid w:val="00067432"/>
    <w:rsid w:val="00067C7D"/>
    <w:rsid w:val="000702E3"/>
    <w:rsid w:val="00070DA1"/>
    <w:rsid w:val="00072D32"/>
    <w:rsid w:val="00073DB6"/>
    <w:rsid w:val="000762BA"/>
    <w:rsid w:val="00081CC0"/>
    <w:rsid w:val="00085CA1"/>
    <w:rsid w:val="00090AA8"/>
    <w:rsid w:val="00093BB0"/>
    <w:rsid w:val="00096030"/>
    <w:rsid w:val="000A0235"/>
    <w:rsid w:val="000A42A8"/>
    <w:rsid w:val="000A5D2E"/>
    <w:rsid w:val="000B2FB6"/>
    <w:rsid w:val="000B4B56"/>
    <w:rsid w:val="000B55A4"/>
    <w:rsid w:val="000B766A"/>
    <w:rsid w:val="000B7E98"/>
    <w:rsid w:val="000C08A6"/>
    <w:rsid w:val="000C3BBD"/>
    <w:rsid w:val="000C4F41"/>
    <w:rsid w:val="000C5F61"/>
    <w:rsid w:val="000C69BA"/>
    <w:rsid w:val="000C7BDC"/>
    <w:rsid w:val="000D0F51"/>
    <w:rsid w:val="000D47B1"/>
    <w:rsid w:val="000D49E4"/>
    <w:rsid w:val="000D7109"/>
    <w:rsid w:val="000E0463"/>
    <w:rsid w:val="000E05E7"/>
    <w:rsid w:val="000E2932"/>
    <w:rsid w:val="000F1A4E"/>
    <w:rsid w:val="001069A7"/>
    <w:rsid w:val="0010745F"/>
    <w:rsid w:val="00112867"/>
    <w:rsid w:val="00112C4B"/>
    <w:rsid w:val="001172F6"/>
    <w:rsid w:val="001218D9"/>
    <w:rsid w:val="00122B67"/>
    <w:rsid w:val="0012375F"/>
    <w:rsid w:val="001239C5"/>
    <w:rsid w:val="00123B81"/>
    <w:rsid w:val="00124A98"/>
    <w:rsid w:val="001261BD"/>
    <w:rsid w:val="00126C53"/>
    <w:rsid w:val="00126F59"/>
    <w:rsid w:val="00127125"/>
    <w:rsid w:val="00130A7C"/>
    <w:rsid w:val="001315D1"/>
    <w:rsid w:val="001341D3"/>
    <w:rsid w:val="001348A7"/>
    <w:rsid w:val="00136AD5"/>
    <w:rsid w:val="00136FDC"/>
    <w:rsid w:val="00137454"/>
    <w:rsid w:val="001452E4"/>
    <w:rsid w:val="00145E29"/>
    <w:rsid w:val="001478C7"/>
    <w:rsid w:val="001479D5"/>
    <w:rsid w:val="00150400"/>
    <w:rsid w:val="0015302E"/>
    <w:rsid w:val="00153097"/>
    <w:rsid w:val="001543F9"/>
    <w:rsid w:val="001611C8"/>
    <w:rsid w:val="0016249C"/>
    <w:rsid w:val="00162A87"/>
    <w:rsid w:val="00162FF3"/>
    <w:rsid w:val="0016384B"/>
    <w:rsid w:val="00165BE4"/>
    <w:rsid w:val="00165F85"/>
    <w:rsid w:val="00171BF2"/>
    <w:rsid w:val="00171E82"/>
    <w:rsid w:val="0017541C"/>
    <w:rsid w:val="001766D5"/>
    <w:rsid w:val="001767EA"/>
    <w:rsid w:val="00180805"/>
    <w:rsid w:val="001820B6"/>
    <w:rsid w:val="00182696"/>
    <w:rsid w:val="001829BB"/>
    <w:rsid w:val="001829FC"/>
    <w:rsid w:val="00183BDC"/>
    <w:rsid w:val="00186748"/>
    <w:rsid w:val="00186E10"/>
    <w:rsid w:val="0018728E"/>
    <w:rsid w:val="00190603"/>
    <w:rsid w:val="001938E1"/>
    <w:rsid w:val="00194EA1"/>
    <w:rsid w:val="0019530C"/>
    <w:rsid w:val="001956B9"/>
    <w:rsid w:val="00196A45"/>
    <w:rsid w:val="001A0C85"/>
    <w:rsid w:val="001A11F1"/>
    <w:rsid w:val="001A40E4"/>
    <w:rsid w:val="001A439C"/>
    <w:rsid w:val="001B64F7"/>
    <w:rsid w:val="001B6E45"/>
    <w:rsid w:val="001C1EC8"/>
    <w:rsid w:val="001C1F7B"/>
    <w:rsid w:val="001C34F6"/>
    <w:rsid w:val="001D250A"/>
    <w:rsid w:val="001D29AE"/>
    <w:rsid w:val="001D3F74"/>
    <w:rsid w:val="001D5E1B"/>
    <w:rsid w:val="001D6146"/>
    <w:rsid w:val="001D6594"/>
    <w:rsid w:val="001D6ED9"/>
    <w:rsid w:val="001D7423"/>
    <w:rsid w:val="001E0258"/>
    <w:rsid w:val="001E0F6E"/>
    <w:rsid w:val="001E76A8"/>
    <w:rsid w:val="001F0033"/>
    <w:rsid w:val="001F6EE5"/>
    <w:rsid w:val="001F759D"/>
    <w:rsid w:val="00201C22"/>
    <w:rsid w:val="00205F02"/>
    <w:rsid w:val="00210179"/>
    <w:rsid w:val="00226D11"/>
    <w:rsid w:val="00226E57"/>
    <w:rsid w:val="00236191"/>
    <w:rsid w:val="00237EA8"/>
    <w:rsid w:val="002409DB"/>
    <w:rsid w:val="00247F1A"/>
    <w:rsid w:val="002501D3"/>
    <w:rsid w:val="00251627"/>
    <w:rsid w:val="00251A1E"/>
    <w:rsid w:val="00255EFC"/>
    <w:rsid w:val="00263F8F"/>
    <w:rsid w:val="00272087"/>
    <w:rsid w:val="00273782"/>
    <w:rsid w:val="00274F33"/>
    <w:rsid w:val="002762A0"/>
    <w:rsid w:val="0028067A"/>
    <w:rsid w:val="00283039"/>
    <w:rsid w:val="00284375"/>
    <w:rsid w:val="00284396"/>
    <w:rsid w:val="00284CA9"/>
    <w:rsid w:val="00291286"/>
    <w:rsid w:val="0029492C"/>
    <w:rsid w:val="00297A3D"/>
    <w:rsid w:val="002A24FF"/>
    <w:rsid w:val="002A63EE"/>
    <w:rsid w:val="002A7268"/>
    <w:rsid w:val="002B0D62"/>
    <w:rsid w:val="002B1B5B"/>
    <w:rsid w:val="002B2E01"/>
    <w:rsid w:val="002B3296"/>
    <w:rsid w:val="002B3EF8"/>
    <w:rsid w:val="002B5CCD"/>
    <w:rsid w:val="002B63D6"/>
    <w:rsid w:val="002B691F"/>
    <w:rsid w:val="002C2A32"/>
    <w:rsid w:val="002C2EE0"/>
    <w:rsid w:val="002C4546"/>
    <w:rsid w:val="002D5BDE"/>
    <w:rsid w:val="002E0AF8"/>
    <w:rsid w:val="002E0F1E"/>
    <w:rsid w:val="002E0FC9"/>
    <w:rsid w:val="002E1B61"/>
    <w:rsid w:val="002E2046"/>
    <w:rsid w:val="002E2D9A"/>
    <w:rsid w:val="002E3173"/>
    <w:rsid w:val="002E3F95"/>
    <w:rsid w:val="002E4CF1"/>
    <w:rsid w:val="002E4D0A"/>
    <w:rsid w:val="002E6E6C"/>
    <w:rsid w:val="002F2442"/>
    <w:rsid w:val="002F3A88"/>
    <w:rsid w:val="002F714D"/>
    <w:rsid w:val="003003D9"/>
    <w:rsid w:val="00306C5F"/>
    <w:rsid w:val="00310317"/>
    <w:rsid w:val="00310839"/>
    <w:rsid w:val="00311285"/>
    <w:rsid w:val="00314D75"/>
    <w:rsid w:val="003150C6"/>
    <w:rsid w:val="003214A9"/>
    <w:rsid w:val="00322D7D"/>
    <w:rsid w:val="00324BDA"/>
    <w:rsid w:val="00326D1B"/>
    <w:rsid w:val="00331220"/>
    <w:rsid w:val="00332660"/>
    <w:rsid w:val="00334324"/>
    <w:rsid w:val="0033447F"/>
    <w:rsid w:val="00337021"/>
    <w:rsid w:val="00344783"/>
    <w:rsid w:val="00344B2E"/>
    <w:rsid w:val="003463EC"/>
    <w:rsid w:val="00356869"/>
    <w:rsid w:val="00357D65"/>
    <w:rsid w:val="00362C97"/>
    <w:rsid w:val="003652FF"/>
    <w:rsid w:val="00365C27"/>
    <w:rsid w:val="003709DD"/>
    <w:rsid w:val="00372A0C"/>
    <w:rsid w:val="00372B59"/>
    <w:rsid w:val="00372FCC"/>
    <w:rsid w:val="0037517D"/>
    <w:rsid w:val="0037618D"/>
    <w:rsid w:val="003768FD"/>
    <w:rsid w:val="00386CFB"/>
    <w:rsid w:val="00386EF8"/>
    <w:rsid w:val="00387948"/>
    <w:rsid w:val="00391686"/>
    <w:rsid w:val="0039172D"/>
    <w:rsid w:val="00392CF0"/>
    <w:rsid w:val="00394590"/>
    <w:rsid w:val="00396263"/>
    <w:rsid w:val="003A00B2"/>
    <w:rsid w:val="003A07B1"/>
    <w:rsid w:val="003A2DF4"/>
    <w:rsid w:val="003A3179"/>
    <w:rsid w:val="003A3FE8"/>
    <w:rsid w:val="003A667C"/>
    <w:rsid w:val="003B0049"/>
    <w:rsid w:val="003B2414"/>
    <w:rsid w:val="003B5428"/>
    <w:rsid w:val="003B645E"/>
    <w:rsid w:val="003C2E96"/>
    <w:rsid w:val="003C4977"/>
    <w:rsid w:val="003C60CB"/>
    <w:rsid w:val="003D0589"/>
    <w:rsid w:val="003D10E0"/>
    <w:rsid w:val="003D3294"/>
    <w:rsid w:val="003D41F8"/>
    <w:rsid w:val="003D7ADE"/>
    <w:rsid w:val="003E01A2"/>
    <w:rsid w:val="003E32B5"/>
    <w:rsid w:val="003E625F"/>
    <w:rsid w:val="003E6862"/>
    <w:rsid w:val="003F2B79"/>
    <w:rsid w:val="003F2D4C"/>
    <w:rsid w:val="003F3881"/>
    <w:rsid w:val="003F7B58"/>
    <w:rsid w:val="00403392"/>
    <w:rsid w:val="004054A1"/>
    <w:rsid w:val="004170B4"/>
    <w:rsid w:val="004173EB"/>
    <w:rsid w:val="0042013B"/>
    <w:rsid w:val="004208CF"/>
    <w:rsid w:val="0042405E"/>
    <w:rsid w:val="00424C9C"/>
    <w:rsid w:val="004250D3"/>
    <w:rsid w:val="004276CD"/>
    <w:rsid w:val="0043137B"/>
    <w:rsid w:val="004346C0"/>
    <w:rsid w:val="00435842"/>
    <w:rsid w:val="004375F9"/>
    <w:rsid w:val="00440794"/>
    <w:rsid w:val="00440929"/>
    <w:rsid w:val="00441655"/>
    <w:rsid w:val="00442796"/>
    <w:rsid w:val="00451524"/>
    <w:rsid w:val="00451864"/>
    <w:rsid w:val="00453343"/>
    <w:rsid w:val="00453AAD"/>
    <w:rsid w:val="0045458B"/>
    <w:rsid w:val="00454648"/>
    <w:rsid w:val="00456FE3"/>
    <w:rsid w:val="00457639"/>
    <w:rsid w:val="00463644"/>
    <w:rsid w:val="00463902"/>
    <w:rsid w:val="00472DEF"/>
    <w:rsid w:val="00474999"/>
    <w:rsid w:val="00476FAE"/>
    <w:rsid w:val="00480026"/>
    <w:rsid w:val="00480BA5"/>
    <w:rsid w:val="00484B5C"/>
    <w:rsid w:val="00485563"/>
    <w:rsid w:val="004856CF"/>
    <w:rsid w:val="00485829"/>
    <w:rsid w:val="004860EA"/>
    <w:rsid w:val="00490F31"/>
    <w:rsid w:val="004A191B"/>
    <w:rsid w:val="004A21CA"/>
    <w:rsid w:val="004A6358"/>
    <w:rsid w:val="004B06A2"/>
    <w:rsid w:val="004B1FF3"/>
    <w:rsid w:val="004B4FEB"/>
    <w:rsid w:val="004C1BCA"/>
    <w:rsid w:val="004C287C"/>
    <w:rsid w:val="004C290F"/>
    <w:rsid w:val="004C2A06"/>
    <w:rsid w:val="004C696A"/>
    <w:rsid w:val="004C6E18"/>
    <w:rsid w:val="004C7DB8"/>
    <w:rsid w:val="004D1DD0"/>
    <w:rsid w:val="004D31E4"/>
    <w:rsid w:val="004D45AB"/>
    <w:rsid w:val="004D52CB"/>
    <w:rsid w:val="004D592F"/>
    <w:rsid w:val="004E0D69"/>
    <w:rsid w:val="004E2317"/>
    <w:rsid w:val="004E4F4F"/>
    <w:rsid w:val="004F260E"/>
    <w:rsid w:val="004F53A4"/>
    <w:rsid w:val="0050084E"/>
    <w:rsid w:val="005012EE"/>
    <w:rsid w:val="005026E4"/>
    <w:rsid w:val="00502BCA"/>
    <w:rsid w:val="00505A0C"/>
    <w:rsid w:val="0051474B"/>
    <w:rsid w:val="00515B53"/>
    <w:rsid w:val="005211FD"/>
    <w:rsid w:val="0052200A"/>
    <w:rsid w:val="00526B0C"/>
    <w:rsid w:val="00526D13"/>
    <w:rsid w:val="005314D1"/>
    <w:rsid w:val="005339DD"/>
    <w:rsid w:val="00535C82"/>
    <w:rsid w:val="005365A5"/>
    <w:rsid w:val="00537374"/>
    <w:rsid w:val="0054034C"/>
    <w:rsid w:val="005404CD"/>
    <w:rsid w:val="00542137"/>
    <w:rsid w:val="005500B3"/>
    <w:rsid w:val="00550805"/>
    <w:rsid w:val="0055110E"/>
    <w:rsid w:val="00553996"/>
    <w:rsid w:val="00554F4C"/>
    <w:rsid w:val="0056030D"/>
    <w:rsid w:val="00562E6F"/>
    <w:rsid w:val="00563660"/>
    <w:rsid w:val="005650C7"/>
    <w:rsid w:val="005708DF"/>
    <w:rsid w:val="00572625"/>
    <w:rsid w:val="00576BEB"/>
    <w:rsid w:val="00577CAB"/>
    <w:rsid w:val="00582541"/>
    <w:rsid w:val="00582D77"/>
    <w:rsid w:val="00583B93"/>
    <w:rsid w:val="00584888"/>
    <w:rsid w:val="005877EC"/>
    <w:rsid w:val="00591F82"/>
    <w:rsid w:val="005943F9"/>
    <w:rsid w:val="005979DE"/>
    <w:rsid w:val="005A25BD"/>
    <w:rsid w:val="005A294E"/>
    <w:rsid w:val="005A2A9B"/>
    <w:rsid w:val="005A3B9E"/>
    <w:rsid w:val="005A517B"/>
    <w:rsid w:val="005A6D6C"/>
    <w:rsid w:val="005A731F"/>
    <w:rsid w:val="005B0744"/>
    <w:rsid w:val="005B1747"/>
    <w:rsid w:val="005B2EFB"/>
    <w:rsid w:val="005B747B"/>
    <w:rsid w:val="005C19AD"/>
    <w:rsid w:val="005C39E5"/>
    <w:rsid w:val="005C60EF"/>
    <w:rsid w:val="005C787B"/>
    <w:rsid w:val="005D0F0D"/>
    <w:rsid w:val="005D1454"/>
    <w:rsid w:val="005D2256"/>
    <w:rsid w:val="005D2A30"/>
    <w:rsid w:val="005D41E9"/>
    <w:rsid w:val="005D508D"/>
    <w:rsid w:val="005D57D2"/>
    <w:rsid w:val="005D71A3"/>
    <w:rsid w:val="005D771F"/>
    <w:rsid w:val="005D7BB2"/>
    <w:rsid w:val="005E01C7"/>
    <w:rsid w:val="005E0807"/>
    <w:rsid w:val="005E3086"/>
    <w:rsid w:val="005E4720"/>
    <w:rsid w:val="005E4E75"/>
    <w:rsid w:val="005E5889"/>
    <w:rsid w:val="005E6780"/>
    <w:rsid w:val="005E77DC"/>
    <w:rsid w:val="005F17D2"/>
    <w:rsid w:val="005F3DE2"/>
    <w:rsid w:val="005F4E6A"/>
    <w:rsid w:val="005F5CBF"/>
    <w:rsid w:val="006008C4"/>
    <w:rsid w:val="006032BD"/>
    <w:rsid w:val="00607B27"/>
    <w:rsid w:val="00611E78"/>
    <w:rsid w:val="00613B2F"/>
    <w:rsid w:val="0061454B"/>
    <w:rsid w:val="006233D7"/>
    <w:rsid w:val="00627CD3"/>
    <w:rsid w:val="006301B2"/>
    <w:rsid w:val="00630F5F"/>
    <w:rsid w:val="0063189C"/>
    <w:rsid w:val="00634E04"/>
    <w:rsid w:val="00635EE5"/>
    <w:rsid w:val="00637F51"/>
    <w:rsid w:val="00640727"/>
    <w:rsid w:val="00640BB5"/>
    <w:rsid w:val="00642FE6"/>
    <w:rsid w:val="006434E2"/>
    <w:rsid w:val="0064437F"/>
    <w:rsid w:val="00645575"/>
    <w:rsid w:val="006456EE"/>
    <w:rsid w:val="00645E11"/>
    <w:rsid w:val="006524EC"/>
    <w:rsid w:val="006528E7"/>
    <w:rsid w:val="00652DBC"/>
    <w:rsid w:val="00652F9B"/>
    <w:rsid w:val="006543AC"/>
    <w:rsid w:val="00654BDA"/>
    <w:rsid w:val="00655BF5"/>
    <w:rsid w:val="00656609"/>
    <w:rsid w:val="00656C73"/>
    <w:rsid w:val="0066147E"/>
    <w:rsid w:val="0066224F"/>
    <w:rsid w:val="0066737A"/>
    <w:rsid w:val="006703D1"/>
    <w:rsid w:val="006713E1"/>
    <w:rsid w:val="006720AA"/>
    <w:rsid w:val="00674289"/>
    <w:rsid w:val="00674BAE"/>
    <w:rsid w:val="00675D1F"/>
    <w:rsid w:val="00676D9D"/>
    <w:rsid w:val="00676FE7"/>
    <w:rsid w:val="00677D49"/>
    <w:rsid w:val="00677FA9"/>
    <w:rsid w:val="006974B6"/>
    <w:rsid w:val="006A0BC9"/>
    <w:rsid w:val="006A16E7"/>
    <w:rsid w:val="006A534B"/>
    <w:rsid w:val="006A5822"/>
    <w:rsid w:val="006B12A3"/>
    <w:rsid w:val="006B1D27"/>
    <w:rsid w:val="006B1E55"/>
    <w:rsid w:val="006B1F6F"/>
    <w:rsid w:val="006C0630"/>
    <w:rsid w:val="006C48EC"/>
    <w:rsid w:val="006D0F6E"/>
    <w:rsid w:val="006D3067"/>
    <w:rsid w:val="006D30A6"/>
    <w:rsid w:val="006D3745"/>
    <w:rsid w:val="006D4E58"/>
    <w:rsid w:val="006D675E"/>
    <w:rsid w:val="006E33A8"/>
    <w:rsid w:val="006E487B"/>
    <w:rsid w:val="006E5C6B"/>
    <w:rsid w:val="006E5FE2"/>
    <w:rsid w:val="006E71C5"/>
    <w:rsid w:val="006F3518"/>
    <w:rsid w:val="006F47D4"/>
    <w:rsid w:val="006F540D"/>
    <w:rsid w:val="006F5B4E"/>
    <w:rsid w:val="006F7578"/>
    <w:rsid w:val="006F7EB4"/>
    <w:rsid w:val="0070077F"/>
    <w:rsid w:val="00700DA8"/>
    <w:rsid w:val="00701E98"/>
    <w:rsid w:val="00703DDE"/>
    <w:rsid w:val="00704C75"/>
    <w:rsid w:val="0071017F"/>
    <w:rsid w:val="0071178B"/>
    <w:rsid w:val="00716187"/>
    <w:rsid w:val="00721447"/>
    <w:rsid w:val="00723166"/>
    <w:rsid w:val="00724613"/>
    <w:rsid w:val="00732B18"/>
    <w:rsid w:val="0073547A"/>
    <w:rsid w:val="00735622"/>
    <w:rsid w:val="00736E50"/>
    <w:rsid w:val="007409B3"/>
    <w:rsid w:val="00746F6B"/>
    <w:rsid w:val="00750DDC"/>
    <w:rsid w:val="00751D2A"/>
    <w:rsid w:val="00753F91"/>
    <w:rsid w:val="007544D1"/>
    <w:rsid w:val="00757C25"/>
    <w:rsid w:val="00761E81"/>
    <w:rsid w:val="007648C5"/>
    <w:rsid w:val="007665BD"/>
    <w:rsid w:val="00771384"/>
    <w:rsid w:val="0077367A"/>
    <w:rsid w:val="007752B5"/>
    <w:rsid w:val="0077790F"/>
    <w:rsid w:val="007812A0"/>
    <w:rsid w:val="00781815"/>
    <w:rsid w:val="007833BD"/>
    <w:rsid w:val="00783BDA"/>
    <w:rsid w:val="00787CD5"/>
    <w:rsid w:val="007932AD"/>
    <w:rsid w:val="007937D1"/>
    <w:rsid w:val="0079481A"/>
    <w:rsid w:val="0079492F"/>
    <w:rsid w:val="007951C8"/>
    <w:rsid w:val="007A1674"/>
    <w:rsid w:val="007A5A7D"/>
    <w:rsid w:val="007A644E"/>
    <w:rsid w:val="007A65F0"/>
    <w:rsid w:val="007A71EA"/>
    <w:rsid w:val="007A7C28"/>
    <w:rsid w:val="007B3B83"/>
    <w:rsid w:val="007C4549"/>
    <w:rsid w:val="007D0474"/>
    <w:rsid w:val="007D2EFB"/>
    <w:rsid w:val="007D74C3"/>
    <w:rsid w:val="007E0974"/>
    <w:rsid w:val="007E2ED1"/>
    <w:rsid w:val="007E4365"/>
    <w:rsid w:val="007E5E23"/>
    <w:rsid w:val="007E6762"/>
    <w:rsid w:val="007E74EA"/>
    <w:rsid w:val="007F08BB"/>
    <w:rsid w:val="007F1389"/>
    <w:rsid w:val="007F178F"/>
    <w:rsid w:val="007F7F12"/>
    <w:rsid w:val="00802912"/>
    <w:rsid w:val="0081042C"/>
    <w:rsid w:val="0081138F"/>
    <w:rsid w:val="00812503"/>
    <w:rsid w:val="00817E48"/>
    <w:rsid w:val="008220A9"/>
    <w:rsid w:val="00824682"/>
    <w:rsid w:val="00830234"/>
    <w:rsid w:val="0083102E"/>
    <w:rsid w:val="008356F6"/>
    <w:rsid w:val="008369F6"/>
    <w:rsid w:val="00840BDB"/>
    <w:rsid w:val="00843CFF"/>
    <w:rsid w:val="00845A76"/>
    <w:rsid w:val="0084792D"/>
    <w:rsid w:val="00847C8D"/>
    <w:rsid w:val="008530DD"/>
    <w:rsid w:val="00861D8D"/>
    <w:rsid w:val="00872FCD"/>
    <w:rsid w:val="00873C90"/>
    <w:rsid w:val="00874542"/>
    <w:rsid w:val="00875762"/>
    <w:rsid w:val="00876056"/>
    <w:rsid w:val="00876C8F"/>
    <w:rsid w:val="00880D93"/>
    <w:rsid w:val="00884B8A"/>
    <w:rsid w:val="008864B7"/>
    <w:rsid w:val="008920FC"/>
    <w:rsid w:val="008A30C9"/>
    <w:rsid w:val="008A4BA9"/>
    <w:rsid w:val="008A61C0"/>
    <w:rsid w:val="008B2070"/>
    <w:rsid w:val="008B475D"/>
    <w:rsid w:val="008B60F7"/>
    <w:rsid w:val="008B686D"/>
    <w:rsid w:val="008C0F1F"/>
    <w:rsid w:val="008D0DFB"/>
    <w:rsid w:val="008D38FB"/>
    <w:rsid w:val="008D6974"/>
    <w:rsid w:val="008E05DF"/>
    <w:rsid w:val="008E26D5"/>
    <w:rsid w:val="008E2952"/>
    <w:rsid w:val="008E2CE2"/>
    <w:rsid w:val="008E34CE"/>
    <w:rsid w:val="008E3C74"/>
    <w:rsid w:val="008E53F3"/>
    <w:rsid w:val="008F2A25"/>
    <w:rsid w:val="008F4F04"/>
    <w:rsid w:val="008F56EF"/>
    <w:rsid w:val="008F75A7"/>
    <w:rsid w:val="00901226"/>
    <w:rsid w:val="00906B50"/>
    <w:rsid w:val="009079A8"/>
    <w:rsid w:val="00911C7E"/>
    <w:rsid w:val="00911F57"/>
    <w:rsid w:val="0091589B"/>
    <w:rsid w:val="00916D2E"/>
    <w:rsid w:val="0092095A"/>
    <w:rsid w:val="00921A75"/>
    <w:rsid w:val="00921BAB"/>
    <w:rsid w:val="00924403"/>
    <w:rsid w:val="009277DD"/>
    <w:rsid w:val="00931618"/>
    <w:rsid w:val="00932A94"/>
    <w:rsid w:val="009362D9"/>
    <w:rsid w:val="00936AE0"/>
    <w:rsid w:val="00937960"/>
    <w:rsid w:val="00937CF0"/>
    <w:rsid w:val="0094009E"/>
    <w:rsid w:val="00943CB6"/>
    <w:rsid w:val="00944BFC"/>
    <w:rsid w:val="009453E6"/>
    <w:rsid w:val="009513AD"/>
    <w:rsid w:val="00951FC7"/>
    <w:rsid w:val="009529B4"/>
    <w:rsid w:val="00953CCF"/>
    <w:rsid w:val="00955579"/>
    <w:rsid w:val="0095557D"/>
    <w:rsid w:val="00960DDC"/>
    <w:rsid w:val="00963C7A"/>
    <w:rsid w:val="009667F7"/>
    <w:rsid w:val="00973CFD"/>
    <w:rsid w:val="00975368"/>
    <w:rsid w:val="00976F6E"/>
    <w:rsid w:val="009807E4"/>
    <w:rsid w:val="00980EAA"/>
    <w:rsid w:val="009842DE"/>
    <w:rsid w:val="009848B9"/>
    <w:rsid w:val="009863FB"/>
    <w:rsid w:val="0099381F"/>
    <w:rsid w:val="00997EA4"/>
    <w:rsid w:val="009A1B1F"/>
    <w:rsid w:val="009A399C"/>
    <w:rsid w:val="009A4051"/>
    <w:rsid w:val="009A40D6"/>
    <w:rsid w:val="009A5810"/>
    <w:rsid w:val="009A5C41"/>
    <w:rsid w:val="009A5FF8"/>
    <w:rsid w:val="009A70C1"/>
    <w:rsid w:val="009A7948"/>
    <w:rsid w:val="009A7ABD"/>
    <w:rsid w:val="009B2EC5"/>
    <w:rsid w:val="009B48CB"/>
    <w:rsid w:val="009B758E"/>
    <w:rsid w:val="009C2EB8"/>
    <w:rsid w:val="009C3927"/>
    <w:rsid w:val="009D1A06"/>
    <w:rsid w:val="009D46C5"/>
    <w:rsid w:val="009D5983"/>
    <w:rsid w:val="009D6790"/>
    <w:rsid w:val="009E0EB3"/>
    <w:rsid w:val="009E67B1"/>
    <w:rsid w:val="00A03A0E"/>
    <w:rsid w:val="00A03C6C"/>
    <w:rsid w:val="00A072D6"/>
    <w:rsid w:val="00A10356"/>
    <w:rsid w:val="00A10482"/>
    <w:rsid w:val="00A13E3B"/>
    <w:rsid w:val="00A16022"/>
    <w:rsid w:val="00A201B5"/>
    <w:rsid w:val="00A2337A"/>
    <w:rsid w:val="00A237C3"/>
    <w:rsid w:val="00A24778"/>
    <w:rsid w:val="00A26DFE"/>
    <w:rsid w:val="00A3278E"/>
    <w:rsid w:val="00A32EF4"/>
    <w:rsid w:val="00A426A1"/>
    <w:rsid w:val="00A50889"/>
    <w:rsid w:val="00A52633"/>
    <w:rsid w:val="00A5266C"/>
    <w:rsid w:val="00A551EA"/>
    <w:rsid w:val="00A5543E"/>
    <w:rsid w:val="00A57E70"/>
    <w:rsid w:val="00A6152C"/>
    <w:rsid w:val="00A7021F"/>
    <w:rsid w:val="00A72B3E"/>
    <w:rsid w:val="00A74CE7"/>
    <w:rsid w:val="00A75D05"/>
    <w:rsid w:val="00A76DE5"/>
    <w:rsid w:val="00A8225B"/>
    <w:rsid w:val="00A83B18"/>
    <w:rsid w:val="00A87D73"/>
    <w:rsid w:val="00A90032"/>
    <w:rsid w:val="00A92D4F"/>
    <w:rsid w:val="00A939CC"/>
    <w:rsid w:val="00A94937"/>
    <w:rsid w:val="00A96673"/>
    <w:rsid w:val="00AA0DCE"/>
    <w:rsid w:val="00AA1AF4"/>
    <w:rsid w:val="00AB0E47"/>
    <w:rsid w:val="00AB1566"/>
    <w:rsid w:val="00AB5EEB"/>
    <w:rsid w:val="00AC2A1C"/>
    <w:rsid w:val="00AC2E2C"/>
    <w:rsid w:val="00AC4E66"/>
    <w:rsid w:val="00AC6669"/>
    <w:rsid w:val="00AD6B70"/>
    <w:rsid w:val="00AD7993"/>
    <w:rsid w:val="00AE150E"/>
    <w:rsid w:val="00AE2527"/>
    <w:rsid w:val="00AE3BBB"/>
    <w:rsid w:val="00AF0D8A"/>
    <w:rsid w:val="00AF64AA"/>
    <w:rsid w:val="00B01C62"/>
    <w:rsid w:val="00B02159"/>
    <w:rsid w:val="00B0535F"/>
    <w:rsid w:val="00B07BF7"/>
    <w:rsid w:val="00B07D2D"/>
    <w:rsid w:val="00B1240D"/>
    <w:rsid w:val="00B1300A"/>
    <w:rsid w:val="00B15DC0"/>
    <w:rsid w:val="00B20D44"/>
    <w:rsid w:val="00B22121"/>
    <w:rsid w:val="00B232D4"/>
    <w:rsid w:val="00B256CF"/>
    <w:rsid w:val="00B25D98"/>
    <w:rsid w:val="00B3079D"/>
    <w:rsid w:val="00B31F07"/>
    <w:rsid w:val="00B366AD"/>
    <w:rsid w:val="00B42BC2"/>
    <w:rsid w:val="00B4491B"/>
    <w:rsid w:val="00B5041F"/>
    <w:rsid w:val="00B53099"/>
    <w:rsid w:val="00B544D2"/>
    <w:rsid w:val="00B556B7"/>
    <w:rsid w:val="00B57CD1"/>
    <w:rsid w:val="00B6086D"/>
    <w:rsid w:val="00B6386C"/>
    <w:rsid w:val="00B70E44"/>
    <w:rsid w:val="00B72ECD"/>
    <w:rsid w:val="00B73E82"/>
    <w:rsid w:val="00B75DDC"/>
    <w:rsid w:val="00B77B76"/>
    <w:rsid w:val="00B80071"/>
    <w:rsid w:val="00B834F3"/>
    <w:rsid w:val="00B95882"/>
    <w:rsid w:val="00B95D73"/>
    <w:rsid w:val="00B97538"/>
    <w:rsid w:val="00BA045B"/>
    <w:rsid w:val="00BA29A9"/>
    <w:rsid w:val="00BA5D9A"/>
    <w:rsid w:val="00BB176F"/>
    <w:rsid w:val="00BB5352"/>
    <w:rsid w:val="00BC1B62"/>
    <w:rsid w:val="00BC4D77"/>
    <w:rsid w:val="00BC7B97"/>
    <w:rsid w:val="00BD05E2"/>
    <w:rsid w:val="00BD28DC"/>
    <w:rsid w:val="00BD43C8"/>
    <w:rsid w:val="00BD5020"/>
    <w:rsid w:val="00BD5A18"/>
    <w:rsid w:val="00BD5BB2"/>
    <w:rsid w:val="00BD5CA8"/>
    <w:rsid w:val="00BD7AB4"/>
    <w:rsid w:val="00BD7BF9"/>
    <w:rsid w:val="00BE01A2"/>
    <w:rsid w:val="00BE13CA"/>
    <w:rsid w:val="00BE1F41"/>
    <w:rsid w:val="00BF0BF3"/>
    <w:rsid w:val="00BF61E5"/>
    <w:rsid w:val="00BF7838"/>
    <w:rsid w:val="00C048C4"/>
    <w:rsid w:val="00C055E5"/>
    <w:rsid w:val="00C07A79"/>
    <w:rsid w:val="00C10C05"/>
    <w:rsid w:val="00C10E7B"/>
    <w:rsid w:val="00C11927"/>
    <w:rsid w:val="00C12201"/>
    <w:rsid w:val="00C14620"/>
    <w:rsid w:val="00C150A8"/>
    <w:rsid w:val="00C16100"/>
    <w:rsid w:val="00C17AC6"/>
    <w:rsid w:val="00C20B0E"/>
    <w:rsid w:val="00C21B1F"/>
    <w:rsid w:val="00C22B34"/>
    <w:rsid w:val="00C27B75"/>
    <w:rsid w:val="00C30759"/>
    <w:rsid w:val="00C32B4A"/>
    <w:rsid w:val="00C35359"/>
    <w:rsid w:val="00C35B1E"/>
    <w:rsid w:val="00C37622"/>
    <w:rsid w:val="00C37BB3"/>
    <w:rsid w:val="00C54414"/>
    <w:rsid w:val="00C55E91"/>
    <w:rsid w:val="00C60A44"/>
    <w:rsid w:val="00C6126F"/>
    <w:rsid w:val="00C62648"/>
    <w:rsid w:val="00C6326C"/>
    <w:rsid w:val="00C6500A"/>
    <w:rsid w:val="00C66BE0"/>
    <w:rsid w:val="00C72531"/>
    <w:rsid w:val="00C72914"/>
    <w:rsid w:val="00C74848"/>
    <w:rsid w:val="00C76014"/>
    <w:rsid w:val="00C82A0F"/>
    <w:rsid w:val="00C83B34"/>
    <w:rsid w:val="00C8408A"/>
    <w:rsid w:val="00C8779E"/>
    <w:rsid w:val="00C87B0D"/>
    <w:rsid w:val="00C9198E"/>
    <w:rsid w:val="00C938F6"/>
    <w:rsid w:val="00CA3322"/>
    <w:rsid w:val="00CA3B3E"/>
    <w:rsid w:val="00CA410F"/>
    <w:rsid w:val="00CA4895"/>
    <w:rsid w:val="00CB040E"/>
    <w:rsid w:val="00CB2D13"/>
    <w:rsid w:val="00CB5006"/>
    <w:rsid w:val="00CB582F"/>
    <w:rsid w:val="00CC05C6"/>
    <w:rsid w:val="00CC206A"/>
    <w:rsid w:val="00CC2CA8"/>
    <w:rsid w:val="00CD0C6F"/>
    <w:rsid w:val="00CD5FDF"/>
    <w:rsid w:val="00CD7B06"/>
    <w:rsid w:val="00CE3C07"/>
    <w:rsid w:val="00CE432C"/>
    <w:rsid w:val="00CE47B3"/>
    <w:rsid w:val="00CE67D3"/>
    <w:rsid w:val="00CE751B"/>
    <w:rsid w:val="00CF03A6"/>
    <w:rsid w:val="00CF11BC"/>
    <w:rsid w:val="00CF2534"/>
    <w:rsid w:val="00CF4240"/>
    <w:rsid w:val="00CF4504"/>
    <w:rsid w:val="00CF4D3B"/>
    <w:rsid w:val="00CF545D"/>
    <w:rsid w:val="00CF677F"/>
    <w:rsid w:val="00CF6908"/>
    <w:rsid w:val="00CF70A5"/>
    <w:rsid w:val="00CF7493"/>
    <w:rsid w:val="00CF7A4E"/>
    <w:rsid w:val="00D02B91"/>
    <w:rsid w:val="00D0625B"/>
    <w:rsid w:val="00D0662C"/>
    <w:rsid w:val="00D079B8"/>
    <w:rsid w:val="00D079D3"/>
    <w:rsid w:val="00D10B77"/>
    <w:rsid w:val="00D13543"/>
    <w:rsid w:val="00D1460E"/>
    <w:rsid w:val="00D1729D"/>
    <w:rsid w:val="00D22AB2"/>
    <w:rsid w:val="00D237D1"/>
    <w:rsid w:val="00D24BD7"/>
    <w:rsid w:val="00D2504F"/>
    <w:rsid w:val="00D30A3D"/>
    <w:rsid w:val="00D31233"/>
    <w:rsid w:val="00D31ACE"/>
    <w:rsid w:val="00D32B40"/>
    <w:rsid w:val="00D36642"/>
    <w:rsid w:val="00D36979"/>
    <w:rsid w:val="00D3719B"/>
    <w:rsid w:val="00D37523"/>
    <w:rsid w:val="00D40D24"/>
    <w:rsid w:val="00D4507C"/>
    <w:rsid w:val="00D454FB"/>
    <w:rsid w:val="00D460E6"/>
    <w:rsid w:val="00D4722E"/>
    <w:rsid w:val="00D531FA"/>
    <w:rsid w:val="00D5496C"/>
    <w:rsid w:val="00D55CCD"/>
    <w:rsid w:val="00D57E0E"/>
    <w:rsid w:val="00D62B6A"/>
    <w:rsid w:val="00D62F7B"/>
    <w:rsid w:val="00D66EF4"/>
    <w:rsid w:val="00D7104F"/>
    <w:rsid w:val="00D77885"/>
    <w:rsid w:val="00D80BB3"/>
    <w:rsid w:val="00D84E45"/>
    <w:rsid w:val="00D872B6"/>
    <w:rsid w:val="00D9021E"/>
    <w:rsid w:val="00D9233A"/>
    <w:rsid w:val="00D94B4A"/>
    <w:rsid w:val="00D96944"/>
    <w:rsid w:val="00D97BB3"/>
    <w:rsid w:val="00DA1961"/>
    <w:rsid w:val="00DA19B4"/>
    <w:rsid w:val="00DA2031"/>
    <w:rsid w:val="00DA22B4"/>
    <w:rsid w:val="00DA2510"/>
    <w:rsid w:val="00DA2FA9"/>
    <w:rsid w:val="00DA4B70"/>
    <w:rsid w:val="00DA5FEE"/>
    <w:rsid w:val="00DB11C2"/>
    <w:rsid w:val="00DB1992"/>
    <w:rsid w:val="00DB1DA3"/>
    <w:rsid w:val="00DB1FDE"/>
    <w:rsid w:val="00DB6916"/>
    <w:rsid w:val="00DB75B8"/>
    <w:rsid w:val="00DC041D"/>
    <w:rsid w:val="00DC5126"/>
    <w:rsid w:val="00DC6F9B"/>
    <w:rsid w:val="00DD0832"/>
    <w:rsid w:val="00DD2B7A"/>
    <w:rsid w:val="00DD4688"/>
    <w:rsid w:val="00DE295E"/>
    <w:rsid w:val="00DE74D4"/>
    <w:rsid w:val="00DE7AA7"/>
    <w:rsid w:val="00DF1829"/>
    <w:rsid w:val="00DF301D"/>
    <w:rsid w:val="00E01BD6"/>
    <w:rsid w:val="00E03657"/>
    <w:rsid w:val="00E04529"/>
    <w:rsid w:val="00E076C5"/>
    <w:rsid w:val="00E07A13"/>
    <w:rsid w:val="00E1163B"/>
    <w:rsid w:val="00E12B52"/>
    <w:rsid w:val="00E16622"/>
    <w:rsid w:val="00E170D5"/>
    <w:rsid w:val="00E219D0"/>
    <w:rsid w:val="00E30428"/>
    <w:rsid w:val="00E3183C"/>
    <w:rsid w:val="00E34383"/>
    <w:rsid w:val="00E3514F"/>
    <w:rsid w:val="00E3599D"/>
    <w:rsid w:val="00E36252"/>
    <w:rsid w:val="00E36377"/>
    <w:rsid w:val="00E403A7"/>
    <w:rsid w:val="00E4084E"/>
    <w:rsid w:val="00E41EDF"/>
    <w:rsid w:val="00E4294B"/>
    <w:rsid w:val="00E45695"/>
    <w:rsid w:val="00E478F4"/>
    <w:rsid w:val="00E47E7C"/>
    <w:rsid w:val="00E51FB4"/>
    <w:rsid w:val="00E526BC"/>
    <w:rsid w:val="00E55573"/>
    <w:rsid w:val="00E5693B"/>
    <w:rsid w:val="00E57F6F"/>
    <w:rsid w:val="00E60227"/>
    <w:rsid w:val="00E61DB8"/>
    <w:rsid w:val="00E62EB4"/>
    <w:rsid w:val="00E743C6"/>
    <w:rsid w:val="00E75346"/>
    <w:rsid w:val="00E779D8"/>
    <w:rsid w:val="00E801B4"/>
    <w:rsid w:val="00E82813"/>
    <w:rsid w:val="00E83556"/>
    <w:rsid w:val="00E850B2"/>
    <w:rsid w:val="00E86203"/>
    <w:rsid w:val="00E91A15"/>
    <w:rsid w:val="00E91BB1"/>
    <w:rsid w:val="00E925CA"/>
    <w:rsid w:val="00E96C38"/>
    <w:rsid w:val="00E97C00"/>
    <w:rsid w:val="00EA201F"/>
    <w:rsid w:val="00EA3A76"/>
    <w:rsid w:val="00EA5D3A"/>
    <w:rsid w:val="00EA72A1"/>
    <w:rsid w:val="00EB20F9"/>
    <w:rsid w:val="00EB33C8"/>
    <w:rsid w:val="00EB6DCA"/>
    <w:rsid w:val="00EC6EA6"/>
    <w:rsid w:val="00ED1CF9"/>
    <w:rsid w:val="00ED258C"/>
    <w:rsid w:val="00ED398C"/>
    <w:rsid w:val="00ED3F86"/>
    <w:rsid w:val="00ED4F10"/>
    <w:rsid w:val="00ED693B"/>
    <w:rsid w:val="00ED6A9B"/>
    <w:rsid w:val="00EE0C15"/>
    <w:rsid w:val="00EE65A7"/>
    <w:rsid w:val="00EF281F"/>
    <w:rsid w:val="00EF7D93"/>
    <w:rsid w:val="00F004E1"/>
    <w:rsid w:val="00F07378"/>
    <w:rsid w:val="00F118E3"/>
    <w:rsid w:val="00F140D4"/>
    <w:rsid w:val="00F16636"/>
    <w:rsid w:val="00F248B0"/>
    <w:rsid w:val="00F26C6A"/>
    <w:rsid w:val="00F27EE5"/>
    <w:rsid w:val="00F33D0D"/>
    <w:rsid w:val="00F37441"/>
    <w:rsid w:val="00F41F12"/>
    <w:rsid w:val="00F41FC0"/>
    <w:rsid w:val="00F45AF9"/>
    <w:rsid w:val="00F51C03"/>
    <w:rsid w:val="00F51F5A"/>
    <w:rsid w:val="00F54D31"/>
    <w:rsid w:val="00F55E60"/>
    <w:rsid w:val="00F56164"/>
    <w:rsid w:val="00F60A8C"/>
    <w:rsid w:val="00F61838"/>
    <w:rsid w:val="00F627E9"/>
    <w:rsid w:val="00F63F89"/>
    <w:rsid w:val="00F71C44"/>
    <w:rsid w:val="00F7280B"/>
    <w:rsid w:val="00F72FC9"/>
    <w:rsid w:val="00F739C8"/>
    <w:rsid w:val="00F76257"/>
    <w:rsid w:val="00F82565"/>
    <w:rsid w:val="00F82791"/>
    <w:rsid w:val="00F8378B"/>
    <w:rsid w:val="00F85C39"/>
    <w:rsid w:val="00F90523"/>
    <w:rsid w:val="00F91CA5"/>
    <w:rsid w:val="00F938E3"/>
    <w:rsid w:val="00F94249"/>
    <w:rsid w:val="00F95716"/>
    <w:rsid w:val="00FA0B9B"/>
    <w:rsid w:val="00FA172C"/>
    <w:rsid w:val="00FA4A54"/>
    <w:rsid w:val="00FA69E1"/>
    <w:rsid w:val="00FB3672"/>
    <w:rsid w:val="00FB5886"/>
    <w:rsid w:val="00FC027F"/>
    <w:rsid w:val="00FC2091"/>
    <w:rsid w:val="00FC26EB"/>
    <w:rsid w:val="00FC4D9C"/>
    <w:rsid w:val="00FC5D4A"/>
    <w:rsid w:val="00FC602F"/>
    <w:rsid w:val="00FC61FD"/>
    <w:rsid w:val="00FD11D3"/>
    <w:rsid w:val="00FD292D"/>
    <w:rsid w:val="00FD295A"/>
    <w:rsid w:val="00FD514C"/>
    <w:rsid w:val="00FD6BAA"/>
    <w:rsid w:val="00FE13CD"/>
    <w:rsid w:val="00FE1D4C"/>
    <w:rsid w:val="00FE2C5F"/>
    <w:rsid w:val="00FE518D"/>
    <w:rsid w:val="00FE5256"/>
    <w:rsid w:val="00FE6A7B"/>
    <w:rsid w:val="00FE6E2B"/>
    <w:rsid w:val="00FF01BB"/>
    <w:rsid w:val="00FF1418"/>
    <w:rsid w:val="00FF1D1D"/>
    <w:rsid w:val="00FF5192"/>
    <w:rsid w:val="00FF5824"/>
    <w:rsid w:val="00FF7305"/>
    <w:rsid w:val="00FF7E8C"/>
    <w:rsid w:val="017362DF"/>
    <w:rsid w:val="01804A4C"/>
    <w:rsid w:val="018C3C07"/>
    <w:rsid w:val="02707ACF"/>
    <w:rsid w:val="02A31F9E"/>
    <w:rsid w:val="02E61B58"/>
    <w:rsid w:val="03844127"/>
    <w:rsid w:val="042A6EF2"/>
    <w:rsid w:val="044C6E68"/>
    <w:rsid w:val="055B4B3A"/>
    <w:rsid w:val="05FA559E"/>
    <w:rsid w:val="06954268"/>
    <w:rsid w:val="06A15BB9"/>
    <w:rsid w:val="07057D8D"/>
    <w:rsid w:val="08644E2E"/>
    <w:rsid w:val="089A3243"/>
    <w:rsid w:val="09CC02E2"/>
    <w:rsid w:val="0A4C47E2"/>
    <w:rsid w:val="0A9705B7"/>
    <w:rsid w:val="0CB43946"/>
    <w:rsid w:val="0D6E7E4F"/>
    <w:rsid w:val="0D8D1E3E"/>
    <w:rsid w:val="0E2B3F92"/>
    <w:rsid w:val="0E4017EB"/>
    <w:rsid w:val="0E7644AF"/>
    <w:rsid w:val="0E813BB2"/>
    <w:rsid w:val="0F31799A"/>
    <w:rsid w:val="1001144E"/>
    <w:rsid w:val="101C1DE4"/>
    <w:rsid w:val="11632237"/>
    <w:rsid w:val="11F148FB"/>
    <w:rsid w:val="124049FF"/>
    <w:rsid w:val="124D31FB"/>
    <w:rsid w:val="131329CC"/>
    <w:rsid w:val="13653AA2"/>
    <w:rsid w:val="13857CA0"/>
    <w:rsid w:val="14631612"/>
    <w:rsid w:val="14661880"/>
    <w:rsid w:val="1473333A"/>
    <w:rsid w:val="14BC1179"/>
    <w:rsid w:val="15951F88"/>
    <w:rsid w:val="16EF0253"/>
    <w:rsid w:val="16F16530"/>
    <w:rsid w:val="175F7071"/>
    <w:rsid w:val="17A5148E"/>
    <w:rsid w:val="17DE3971"/>
    <w:rsid w:val="18027BC4"/>
    <w:rsid w:val="186C5276"/>
    <w:rsid w:val="18AD27DB"/>
    <w:rsid w:val="18BC23B6"/>
    <w:rsid w:val="18D62CE7"/>
    <w:rsid w:val="197E766C"/>
    <w:rsid w:val="19940C3D"/>
    <w:rsid w:val="19C54993"/>
    <w:rsid w:val="1A1964FA"/>
    <w:rsid w:val="1A6A301D"/>
    <w:rsid w:val="1B6328BB"/>
    <w:rsid w:val="1BFB2569"/>
    <w:rsid w:val="1C720A46"/>
    <w:rsid w:val="1D730C34"/>
    <w:rsid w:val="1E0209BB"/>
    <w:rsid w:val="1F240CB5"/>
    <w:rsid w:val="1F8E6BE8"/>
    <w:rsid w:val="2000527E"/>
    <w:rsid w:val="2071346A"/>
    <w:rsid w:val="213B4094"/>
    <w:rsid w:val="219537A4"/>
    <w:rsid w:val="219A525F"/>
    <w:rsid w:val="2250591D"/>
    <w:rsid w:val="22A86A06"/>
    <w:rsid w:val="22CE229B"/>
    <w:rsid w:val="233B188A"/>
    <w:rsid w:val="23CE11F0"/>
    <w:rsid w:val="241E2177"/>
    <w:rsid w:val="24391133"/>
    <w:rsid w:val="25C23FF3"/>
    <w:rsid w:val="25CD5C03"/>
    <w:rsid w:val="26644495"/>
    <w:rsid w:val="26E40E8F"/>
    <w:rsid w:val="277B343D"/>
    <w:rsid w:val="27A74232"/>
    <w:rsid w:val="27D019DA"/>
    <w:rsid w:val="282F58D0"/>
    <w:rsid w:val="28724840"/>
    <w:rsid w:val="28754330"/>
    <w:rsid w:val="288C0F1F"/>
    <w:rsid w:val="28A6098D"/>
    <w:rsid w:val="28CD7CC8"/>
    <w:rsid w:val="291B0A33"/>
    <w:rsid w:val="29840A4D"/>
    <w:rsid w:val="29FB2613"/>
    <w:rsid w:val="29FD6B30"/>
    <w:rsid w:val="2AE00186"/>
    <w:rsid w:val="2B6512A8"/>
    <w:rsid w:val="2B795EE5"/>
    <w:rsid w:val="2BCA6741"/>
    <w:rsid w:val="2BDF239C"/>
    <w:rsid w:val="2BF44228"/>
    <w:rsid w:val="2C7B6FAE"/>
    <w:rsid w:val="2DD8322F"/>
    <w:rsid w:val="2E0E4BF6"/>
    <w:rsid w:val="2EFF5897"/>
    <w:rsid w:val="2FE74559"/>
    <w:rsid w:val="2FEF2C1A"/>
    <w:rsid w:val="30BA3228"/>
    <w:rsid w:val="30F00838"/>
    <w:rsid w:val="316C5981"/>
    <w:rsid w:val="31964246"/>
    <w:rsid w:val="319E0453"/>
    <w:rsid w:val="321F4094"/>
    <w:rsid w:val="33016EEC"/>
    <w:rsid w:val="33A4216E"/>
    <w:rsid w:val="33B70D78"/>
    <w:rsid w:val="340119D9"/>
    <w:rsid w:val="3406073B"/>
    <w:rsid w:val="3421711A"/>
    <w:rsid w:val="34580D8D"/>
    <w:rsid w:val="34857074"/>
    <w:rsid w:val="3538471B"/>
    <w:rsid w:val="35A44708"/>
    <w:rsid w:val="369342FF"/>
    <w:rsid w:val="383501C9"/>
    <w:rsid w:val="38390ED6"/>
    <w:rsid w:val="39B90520"/>
    <w:rsid w:val="3A1F01AC"/>
    <w:rsid w:val="3A8719FE"/>
    <w:rsid w:val="3AB6493C"/>
    <w:rsid w:val="3BAD36E0"/>
    <w:rsid w:val="3BEE2EA2"/>
    <w:rsid w:val="3C006617"/>
    <w:rsid w:val="3D0C3F15"/>
    <w:rsid w:val="3DB35286"/>
    <w:rsid w:val="3E43144A"/>
    <w:rsid w:val="3ECF2E08"/>
    <w:rsid w:val="3EF36235"/>
    <w:rsid w:val="3F4563B2"/>
    <w:rsid w:val="3F4C14EF"/>
    <w:rsid w:val="3F6E057E"/>
    <w:rsid w:val="3F910733"/>
    <w:rsid w:val="3FA0183A"/>
    <w:rsid w:val="3FD73167"/>
    <w:rsid w:val="3FE46ED0"/>
    <w:rsid w:val="3FE47979"/>
    <w:rsid w:val="4084744B"/>
    <w:rsid w:val="42A9438B"/>
    <w:rsid w:val="433F136A"/>
    <w:rsid w:val="443864E5"/>
    <w:rsid w:val="45AC46C8"/>
    <w:rsid w:val="45FE550D"/>
    <w:rsid w:val="465F35FF"/>
    <w:rsid w:val="466B2BA2"/>
    <w:rsid w:val="46BD0F24"/>
    <w:rsid w:val="472C4CFD"/>
    <w:rsid w:val="47906B83"/>
    <w:rsid w:val="47E81FD1"/>
    <w:rsid w:val="48D62530"/>
    <w:rsid w:val="491D17E5"/>
    <w:rsid w:val="49377927"/>
    <w:rsid w:val="49542069"/>
    <w:rsid w:val="4A800BE6"/>
    <w:rsid w:val="4B211BC4"/>
    <w:rsid w:val="4B5F58B8"/>
    <w:rsid w:val="4B782644"/>
    <w:rsid w:val="4C2E7CB8"/>
    <w:rsid w:val="4C3E5B6D"/>
    <w:rsid w:val="4D024279"/>
    <w:rsid w:val="4DC162E8"/>
    <w:rsid w:val="4DD02EC6"/>
    <w:rsid w:val="4E5179CD"/>
    <w:rsid w:val="4E950739"/>
    <w:rsid w:val="4EA505F1"/>
    <w:rsid w:val="4ECC58A2"/>
    <w:rsid w:val="4EE2035E"/>
    <w:rsid w:val="501C1B8C"/>
    <w:rsid w:val="503F0A3E"/>
    <w:rsid w:val="507838C2"/>
    <w:rsid w:val="50871B51"/>
    <w:rsid w:val="51FC3D79"/>
    <w:rsid w:val="51FF194D"/>
    <w:rsid w:val="55066155"/>
    <w:rsid w:val="558619DA"/>
    <w:rsid w:val="56101070"/>
    <w:rsid w:val="563F3703"/>
    <w:rsid w:val="56BF65F2"/>
    <w:rsid w:val="56D025AE"/>
    <w:rsid w:val="57031AB6"/>
    <w:rsid w:val="573C5E95"/>
    <w:rsid w:val="575E5E0B"/>
    <w:rsid w:val="57E9624C"/>
    <w:rsid w:val="58A83A3A"/>
    <w:rsid w:val="58BC553D"/>
    <w:rsid w:val="598812CB"/>
    <w:rsid w:val="5A2E4D77"/>
    <w:rsid w:val="5A665084"/>
    <w:rsid w:val="5A7F4A16"/>
    <w:rsid w:val="5AC8016B"/>
    <w:rsid w:val="5ACE5056"/>
    <w:rsid w:val="5B4B2B4A"/>
    <w:rsid w:val="5B755423"/>
    <w:rsid w:val="5B901E33"/>
    <w:rsid w:val="5BC87B76"/>
    <w:rsid w:val="5BF94355"/>
    <w:rsid w:val="5C3B5785"/>
    <w:rsid w:val="5CA82B90"/>
    <w:rsid w:val="5CC45C46"/>
    <w:rsid w:val="5D413B33"/>
    <w:rsid w:val="5D637D76"/>
    <w:rsid w:val="5DA66055"/>
    <w:rsid w:val="5DC310BE"/>
    <w:rsid w:val="5E343D6A"/>
    <w:rsid w:val="5E563CE0"/>
    <w:rsid w:val="5ED66BCF"/>
    <w:rsid w:val="5F155949"/>
    <w:rsid w:val="5F4973A1"/>
    <w:rsid w:val="5F920D48"/>
    <w:rsid w:val="5FAB1E0A"/>
    <w:rsid w:val="611B6B1B"/>
    <w:rsid w:val="62662701"/>
    <w:rsid w:val="636A29ED"/>
    <w:rsid w:val="6394739B"/>
    <w:rsid w:val="6477675E"/>
    <w:rsid w:val="649D4417"/>
    <w:rsid w:val="655B7E2E"/>
    <w:rsid w:val="660B53B0"/>
    <w:rsid w:val="669C24AC"/>
    <w:rsid w:val="66A66E16"/>
    <w:rsid w:val="67924381"/>
    <w:rsid w:val="68831B76"/>
    <w:rsid w:val="690D4DB1"/>
    <w:rsid w:val="69F64BE1"/>
    <w:rsid w:val="6A00298C"/>
    <w:rsid w:val="6B023ED4"/>
    <w:rsid w:val="6BAD0D11"/>
    <w:rsid w:val="6CC4676B"/>
    <w:rsid w:val="6DEC528C"/>
    <w:rsid w:val="6E587601"/>
    <w:rsid w:val="6F416B95"/>
    <w:rsid w:val="700A0487"/>
    <w:rsid w:val="703B1140"/>
    <w:rsid w:val="70DA42FD"/>
    <w:rsid w:val="71FF6EA4"/>
    <w:rsid w:val="732A6449"/>
    <w:rsid w:val="734A1E81"/>
    <w:rsid w:val="739E02E1"/>
    <w:rsid w:val="73C67F77"/>
    <w:rsid w:val="74424693"/>
    <w:rsid w:val="748F45CE"/>
    <w:rsid w:val="74B3733F"/>
    <w:rsid w:val="75491A51"/>
    <w:rsid w:val="75C80C65"/>
    <w:rsid w:val="763C15B6"/>
    <w:rsid w:val="77380A89"/>
    <w:rsid w:val="776C1A27"/>
    <w:rsid w:val="77810788"/>
    <w:rsid w:val="780137A8"/>
    <w:rsid w:val="783B55E6"/>
    <w:rsid w:val="79776124"/>
    <w:rsid w:val="79A8143C"/>
    <w:rsid w:val="79E01460"/>
    <w:rsid w:val="7A232871"/>
    <w:rsid w:val="7A47527C"/>
    <w:rsid w:val="7BE95372"/>
    <w:rsid w:val="7D667D68"/>
    <w:rsid w:val="7D6B0492"/>
    <w:rsid w:val="7DBB1AC4"/>
    <w:rsid w:val="7E492AC2"/>
    <w:rsid w:val="7EE30820"/>
    <w:rsid w:val="7F3345C7"/>
    <w:rsid w:val="7FF01447"/>
    <w:rsid w:val="BFF74B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1"/>
    <w:qFormat/>
    <w:uiPriority w:val="99"/>
    <w:pPr>
      <w:ind w:firstLine="420" w:firstLineChars="200"/>
    </w:pPr>
    <w:rPr>
      <w:kern w:val="0"/>
      <w:shd w:val="clear" w:color="auto" w:fill="00FFFF"/>
    </w:rPr>
  </w:style>
  <w:style w:type="paragraph" w:styleId="4">
    <w:name w:val="Balloon Text"/>
    <w:basedOn w:val="1"/>
    <w:link w:val="12"/>
    <w:semiHidden/>
    <w:qFormat/>
    <w:uiPriority w:val="99"/>
    <w:rPr>
      <w:kern w:val="0"/>
      <w:sz w:val="2"/>
      <w:szCs w:val="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link w:val="15"/>
    <w:qFormat/>
    <w:uiPriority w:val="99"/>
    <w:pPr>
      <w:spacing w:line="360" w:lineRule="exact"/>
      <w:ind w:left="-130" w:leftChars="-256" w:hanging="408" w:hangingChars="170"/>
    </w:pPr>
    <w:rPr>
      <w:kern w:val="0"/>
      <w:sz w:val="16"/>
      <w:szCs w:val="16"/>
    </w:rPr>
  </w:style>
  <w:style w:type="character" w:styleId="10">
    <w:name w:val="page number"/>
    <w:basedOn w:val="9"/>
    <w:qFormat/>
    <w:uiPriority w:val="99"/>
  </w:style>
  <w:style w:type="character" w:customStyle="1" w:styleId="11">
    <w:name w:val="正文文本缩进 Char1"/>
    <w:link w:val="3"/>
    <w:semiHidden/>
    <w:qFormat/>
    <w:locked/>
    <w:uiPriority w:val="99"/>
    <w:rPr>
      <w:sz w:val="21"/>
      <w:szCs w:val="21"/>
    </w:rPr>
  </w:style>
  <w:style w:type="character" w:customStyle="1" w:styleId="12">
    <w:name w:val="批注框文本 Char1"/>
    <w:link w:val="4"/>
    <w:semiHidden/>
    <w:qFormat/>
    <w:locked/>
    <w:uiPriority w:val="99"/>
    <w:rPr>
      <w:sz w:val="2"/>
      <w:szCs w:val="2"/>
    </w:rPr>
  </w:style>
  <w:style w:type="character" w:customStyle="1" w:styleId="13">
    <w:name w:val="页脚 Char1"/>
    <w:link w:val="5"/>
    <w:semiHidden/>
    <w:qFormat/>
    <w:locked/>
    <w:uiPriority w:val="99"/>
    <w:rPr>
      <w:sz w:val="18"/>
      <w:szCs w:val="18"/>
    </w:rPr>
  </w:style>
  <w:style w:type="character" w:customStyle="1" w:styleId="14">
    <w:name w:val="页眉 Char1"/>
    <w:link w:val="6"/>
    <w:semiHidden/>
    <w:qFormat/>
    <w:locked/>
    <w:uiPriority w:val="99"/>
    <w:rPr>
      <w:sz w:val="18"/>
      <w:szCs w:val="18"/>
    </w:rPr>
  </w:style>
  <w:style w:type="character" w:customStyle="1" w:styleId="15">
    <w:name w:val="正文文本缩进 3 Char1"/>
    <w:link w:val="7"/>
    <w:semiHidden/>
    <w:qFormat/>
    <w:locked/>
    <w:uiPriority w:val="99"/>
    <w:rPr>
      <w:sz w:val="16"/>
      <w:szCs w:val="16"/>
    </w:rPr>
  </w:style>
  <w:style w:type="character" w:customStyle="1" w:styleId="16">
    <w:name w:val="批注框文本 Char"/>
    <w:semiHidden/>
    <w:qFormat/>
    <w:locked/>
    <w:uiPriority w:val="99"/>
    <w:rPr>
      <w:sz w:val="2"/>
      <w:szCs w:val="2"/>
    </w:rPr>
  </w:style>
  <w:style w:type="character" w:customStyle="1" w:styleId="17">
    <w:name w:val="页眉 Char"/>
    <w:semiHidden/>
    <w:qFormat/>
    <w:locked/>
    <w:uiPriority w:val="99"/>
    <w:rPr>
      <w:sz w:val="18"/>
      <w:szCs w:val="18"/>
    </w:rPr>
  </w:style>
  <w:style w:type="character" w:customStyle="1" w:styleId="18">
    <w:name w:val="正文文本缩进 Char"/>
    <w:semiHidden/>
    <w:qFormat/>
    <w:locked/>
    <w:uiPriority w:val="99"/>
    <w:rPr>
      <w:sz w:val="21"/>
      <w:szCs w:val="21"/>
    </w:rPr>
  </w:style>
  <w:style w:type="character" w:customStyle="1" w:styleId="19">
    <w:name w:val="font01"/>
    <w:qFormat/>
    <w:uiPriority w:val="0"/>
    <w:rPr>
      <w:rFonts w:hint="default" w:ascii="Arial" w:hAnsi="Arial" w:cs="Arial"/>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正文文本缩进 3 Char"/>
    <w:semiHidden/>
    <w:qFormat/>
    <w:locked/>
    <w:uiPriority w:val="99"/>
    <w:rPr>
      <w:sz w:val="16"/>
      <w:szCs w:val="16"/>
    </w:rPr>
  </w:style>
  <w:style w:type="character" w:customStyle="1" w:styleId="22">
    <w:name w:val="页脚 Char"/>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53</Pages>
  <Words>28567</Words>
  <Characters>29201</Characters>
  <Lines>291</Lines>
  <Paragraphs>82</Paragraphs>
  <TotalTime>22</TotalTime>
  <ScaleCrop>false</ScaleCrop>
  <LinksUpToDate>false</LinksUpToDate>
  <CharactersWithSpaces>29736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2020-08-03T23:23:00Z</dcterms:created>
  <dc:creator>USER</dc:creator>
  <cp:lastModifiedBy>FJans</cp:lastModifiedBy>
  <cp:lastPrinted>2023-09-15T02:36:00Z</cp:lastPrinted>
  <dcterms:modified xsi:type="dcterms:W3CDTF">2026-06-10T07:28:47Z</dcterms:modified>
  <dc:title>南京医科大学学分制学籍管理条例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55B2F947882D4747A55ED43866372D47_13</vt:lpwstr>
  </property>
  <property fmtid="{D5CDD505-2E9C-101B-9397-08002B2CF9AE}" pid="4" name="KSOTemplateDocerSaveRecord">
    <vt:lpwstr>eyJoZGlkIjoiMGYyNGJiODk1MWFiZWUyY2JlYzlhZmQ2Zjc4MjBmY2IiLCJ1c2VySWQiOiI1Mzc2MDk1MzEifQ==</vt:lpwstr>
  </property>
</Properties>
</file>